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02378F" w:rsidP="00BC6A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F1EA4">
              <w:rPr>
                <w:b/>
                <w:sz w:val="18"/>
              </w:rPr>
              <w:t>.</w:t>
            </w:r>
            <w:r w:rsidR="00BC6AE6">
              <w:rPr>
                <w:b/>
                <w:sz w:val="18"/>
              </w:rPr>
              <w:t xml:space="preserve"> </w:t>
            </w:r>
            <w:r w:rsidR="00DD423C">
              <w:rPr>
                <w:b/>
                <w:sz w:val="18"/>
              </w:rPr>
              <w:t>/20</w:t>
            </w:r>
            <w:r w:rsidR="00C836F3">
              <w:rPr>
                <w:b/>
                <w:sz w:val="18"/>
              </w:rPr>
              <w:t>18</w:t>
            </w:r>
            <w:r w:rsidR="00DD423C">
              <w:rPr>
                <w:b/>
                <w:sz w:val="18"/>
              </w:rPr>
              <w:t>.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545"/>
        <w:gridCol w:w="1276"/>
      </w:tblGrid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grada Vukovara 269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CA7AC7" w:rsidP="00C836F3">
            <w:pPr>
              <w:rPr>
                <w:b/>
              </w:rPr>
            </w:pPr>
            <w:r>
              <w:rPr>
                <w:b/>
              </w:rPr>
              <w:t>2.</w:t>
            </w:r>
            <w:r w:rsidR="00C836F3">
              <w:rPr>
                <w:b/>
              </w:rPr>
              <w:t xml:space="preserve">a, 2.d, 2.l, </w:t>
            </w:r>
            <w:r w:rsidR="0002378F">
              <w:rPr>
                <w:b/>
              </w:rPr>
              <w:t>2.s, 2.e/3.b/3.s/2.n/2.m</w:t>
            </w:r>
            <w:r w:rsidR="00362420">
              <w:rPr>
                <w:b/>
              </w:rPr>
              <w:t>/3c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4E68AD" w:rsidP="00CA7AC7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 </w:t>
            </w:r>
            <w:r w:rsidR="006140C4" w:rsidRPr="003A2770">
              <w:rPr>
                <w:rFonts w:eastAsia="Calibri"/>
                <w:b/>
                <w:sz w:val="22"/>
                <w:szCs w:val="22"/>
              </w:rPr>
              <w:t>razred</w:t>
            </w:r>
            <w:r>
              <w:rPr>
                <w:rFonts w:eastAsia="Calibri"/>
                <w:b/>
                <w:sz w:val="22"/>
                <w:szCs w:val="22"/>
              </w:rPr>
              <w:t xml:space="preserve">a </w:t>
            </w:r>
            <w:r w:rsidR="00C836F3">
              <w:rPr>
                <w:rFonts w:eastAsia="Calibri"/>
                <w:b/>
                <w:sz w:val="22"/>
                <w:szCs w:val="22"/>
              </w:rPr>
              <w:t>+terenska skupina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CA7AC7" w:rsidP="00CA7AC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1EA4">
              <w:rPr>
                <w:rFonts w:ascii="Times New Roman" w:hAnsi="Times New Roman"/>
              </w:rPr>
              <w:t xml:space="preserve">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CA7AC7" w:rsidP="00CA7AC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1EA4">
              <w:rPr>
                <w:rFonts w:ascii="Times New Roman" w:hAnsi="Times New Roman"/>
              </w:rPr>
              <w:t xml:space="preserve"> </w:t>
            </w:r>
            <w:r w:rsidR="006140C4" w:rsidRPr="003A2770">
              <w:rPr>
                <w:rFonts w:ascii="Times New Roman" w:hAnsi="Times New Roman"/>
              </w:rPr>
              <w:t>noćenj</w:t>
            </w:r>
            <w:r w:rsidR="004E68AD">
              <w:rPr>
                <w:rFonts w:ascii="Times New Roman" w:hAnsi="Times New Roman"/>
              </w:rPr>
              <w:t>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BF1E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13434" w:rsidRDefault="006140C4" w:rsidP="00194102">
            <w:pPr>
              <w:jc w:val="right"/>
            </w:pPr>
            <w:r>
              <w:t xml:space="preserve">            </w:t>
            </w:r>
            <w:r w:rsidR="00BC6AE6">
              <w:t xml:space="preserve">  </w:t>
            </w:r>
            <w:r w:rsidR="00BF1EA4">
              <w:t xml:space="preserve">         </w:t>
            </w:r>
            <w:r>
              <w:t xml:space="preserve">    </w:t>
            </w:r>
            <w:r w:rsidR="004E68AD" w:rsidRPr="00F13434">
              <w:t>N</w:t>
            </w:r>
            <w:r w:rsidRPr="00F13434">
              <w:t>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4E68AD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6140C4" w:rsidRPr="003A2770">
              <w:rPr>
                <w:rFonts w:ascii="Times New Roman" w:hAnsi="Times New Roman"/>
              </w:rPr>
              <w:t>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0F337C" w:rsidRDefault="00C836F3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Italija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C836F3" w:rsidP="00E90AE7"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7B" w:rsidRPr="00BC6AE6" w:rsidRDefault="00C836F3" w:rsidP="00CA7AC7">
            <w:r>
              <w:t>4</w:t>
            </w:r>
            <w:r w:rsidR="00BF1EA4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C836F3" w:rsidP="00CA7AC7"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8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C6AE6" w:rsidRDefault="00C836F3" w:rsidP="00CA7AC7">
            <w:r>
              <w:t>4</w:t>
            </w:r>
            <w:r w:rsidR="00BF1EA4">
              <w:t>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C836F3" w:rsidP="00C6019E">
            <w:r>
              <w:t>2018</w:t>
            </w:r>
            <w:r w:rsidR="00F90F49">
              <w:t>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C836F3" w:rsidP="00DD423C">
            <w:r>
              <w:t>110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02378F" w:rsidP="00C6019E">
            <w:r>
              <w:t>10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/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EC3EF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C836F3" w:rsidP="008E16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Siena</w:t>
            </w:r>
            <w:proofErr w:type="spellEnd"/>
            <w:r w:rsidR="00CA7AC7">
              <w:rPr>
                <w:rFonts w:ascii="Times New Roman" w:hAnsi="Times New Roman"/>
              </w:rPr>
              <w:t xml:space="preserve"> </w:t>
            </w:r>
            <w:r w:rsidR="00B7747B">
              <w:rPr>
                <w:rFonts w:ascii="Times New Roman" w:hAnsi="Times New Roman"/>
              </w:rPr>
              <w:t>(u povratku)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C836F3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B1672B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</w:t>
            </w:r>
            <w:r w:rsidR="00DA247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  <w:r w:rsidR="00362420">
              <w:rPr>
                <w:rFonts w:ascii="Times New Roman" w:hAnsi="Times New Roman"/>
              </w:rPr>
              <w:t>( komforniji autobusi radi dužeg putovanja)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B167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9107B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6140C4" w:rsidP="00EC3EF4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DA247B" w:rsidRDefault="00DA247B" w:rsidP="005210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247B">
              <w:rPr>
                <w:rFonts w:ascii="Times New Roman" w:hAnsi="Times New Roman"/>
              </w:rPr>
              <w:t xml:space="preserve">                                     </w:t>
            </w:r>
            <w:r w:rsidR="00A228E4" w:rsidRPr="00DA247B">
              <w:rPr>
                <w:rFonts w:ascii="Times New Roman" w:hAnsi="Times New Roman"/>
              </w:rPr>
              <w:t>X</w:t>
            </w:r>
            <w:r w:rsidR="005210AF">
              <w:rPr>
                <w:rFonts w:ascii="Times New Roman" w:hAnsi="Times New Roman"/>
              </w:rPr>
              <w:t xml:space="preserve">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B1672B" w:rsidRDefault="00B1672B" w:rsidP="00BF1EA4">
            <w:r>
              <w:t xml:space="preserve">      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DA247B" w:rsidP="00DA247B">
            <w:r>
              <w:t xml:space="preserve">   </w:t>
            </w:r>
            <w:r w:rsidR="00CA7AC7">
              <w:t xml:space="preserve">                               </w:t>
            </w:r>
            <w:r w:rsidR="00362420"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9107B2" w:rsidRDefault="00B1672B" w:rsidP="00BF1EA4">
            <w:r>
              <w:t xml:space="preserve">      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362420" w:rsidP="00CA7AC7">
            <w:pPr>
              <w:jc w:val="center"/>
              <w:rPr>
                <w:i/>
              </w:rPr>
            </w:pPr>
            <w:r>
              <w:t xml:space="preserve">Prednost </w:t>
            </w:r>
            <w:r w:rsidR="005210AF">
              <w:t xml:space="preserve">hotel - </w:t>
            </w:r>
            <w:r>
              <w:t xml:space="preserve">Villa </w:t>
            </w:r>
            <w:proofErr w:type="spellStart"/>
            <w:r>
              <w:t>Margherita</w:t>
            </w:r>
            <w:proofErr w:type="spellEnd"/>
            <w:r>
              <w:t xml:space="preserve"> u </w:t>
            </w:r>
            <w:proofErr w:type="spellStart"/>
            <w:r>
              <w:t>Ladispoliju</w:t>
            </w:r>
            <w:proofErr w:type="spellEnd"/>
            <w:r>
              <w:t xml:space="preserve"> radi blizine plaže</w:t>
            </w:r>
            <w:r w:rsidR="00225BF9">
              <w:rPr>
                <w:i/>
              </w:rPr>
              <w:t xml:space="preserve"> 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EC3E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29797E" w:rsidRDefault="00CA7AC7" w:rsidP="00C836F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Vatikanske muzeje, </w:t>
            </w:r>
            <w:proofErr w:type="spellStart"/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>Koloseum</w:t>
            </w:r>
            <w:proofErr w:type="spellEnd"/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Forum </w:t>
            </w:r>
            <w:proofErr w:type="spellStart"/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>Romanum</w:t>
            </w:r>
            <w:proofErr w:type="spellEnd"/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>Kalistove</w:t>
            </w:r>
            <w:proofErr w:type="spellEnd"/>
            <w:r w:rsidR="00C836F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katakombe,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DA247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247660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836F3" w:rsidRPr="00C836F3" w:rsidRDefault="00C836F3" w:rsidP="00C836F3">
            <w:pP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C836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0.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C836F3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dan ZAGREB</w:t>
            </w:r>
          </w:p>
          <w:p w:rsidR="00C836F3" w:rsidRPr="00C836F3" w:rsidRDefault="00C836F3" w:rsidP="00C836F3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C836F3">
              <w:rPr>
                <w:rFonts w:asciiTheme="minorHAnsi" w:hAnsiTheme="minorHAnsi"/>
                <w:sz w:val="20"/>
                <w:szCs w:val="20"/>
                <w:shd w:val="clear" w:color="auto" w:fill="FFFFFF"/>
                <w:lang w:eastAsia="hr-HR"/>
              </w:rPr>
              <w:t>Polazak s parkirališta škole u 22.00 sati. Noćna vožnja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1. dan ZAGREB - </w:t>
            </w:r>
            <w:r w:rsidR="00C836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RIM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Dolazak u prijepodnevnim satima. Razgled grada (</w:t>
            </w:r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Bazilika Sv</w:t>
            </w:r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Pavla van zidina, crkva San </w:t>
            </w:r>
            <w:proofErr w:type="spellStart"/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Giova</w:t>
            </w:r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</w:t>
            </w:r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ni</w:t>
            </w:r>
            <w:proofErr w:type="spellEnd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i</w:t>
            </w:r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</w:t>
            </w:r>
            <w:proofErr w:type="spellEnd"/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Laterano</w:t>
            </w:r>
            <w:proofErr w:type="spellEnd"/>
            <w:r w:rsidR="004E68A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,</w:t>
            </w:r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Crkva Svetih Stuba, Sa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</w:t>
            </w:r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ta Maria </w:t>
            </w:r>
            <w:proofErr w:type="spellStart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Maggiore</w:t>
            </w:r>
            <w:proofErr w:type="spellEnd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San </w:t>
            </w:r>
            <w:proofErr w:type="spellStart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Pietro</w:t>
            </w:r>
            <w:proofErr w:type="spellEnd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in</w:t>
            </w:r>
            <w:proofErr w:type="spellEnd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vincoli</w:t>
            </w:r>
            <w:proofErr w:type="spellEnd"/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Koloseum</w:t>
            </w:r>
            <w:proofErr w:type="spellEnd"/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Forum </w:t>
            </w:r>
            <w:proofErr w:type="spellStart"/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Romanum</w:t>
            </w:r>
            <w:proofErr w:type="spellEnd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…). Slobodno vrijeme za ručak. Nastavak razgleda. 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Povratak u hotel. </w:t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Slobodno vrijeme. Večera. 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Noćenje.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="006D2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2. dan RIM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Doručak. </w:t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Odlazak u Rim. Razgled: </w:t>
            </w:r>
            <w:r w:rsidR="00080AB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Bazilika Svetog Petra, </w:t>
            </w:r>
            <w:r w:rsidR="005210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Vatikan -</w:t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Vatikanski muzeji, </w:t>
            </w:r>
            <w:proofErr w:type="spellStart"/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Castel</w:t>
            </w:r>
            <w:proofErr w:type="spellEnd"/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st. Angelo</w:t>
            </w:r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="0019410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šetnja uz </w:t>
            </w:r>
            <w:proofErr w:type="spellStart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Tevere</w:t>
            </w:r>
            <w:proofErr w:type="spellEnd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Piazza</w:t>
            </w:r>
            <w:proofErr w:type="spellEnd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Navona,Trastevere</w:t>
            </w:r>
            <w:proofErr w:type="spellEnd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(fakultativno)</w:t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…  Slobodno vrijeme za ručak. Nastavak razgleda: Panteon…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U večernjim satima razgled </w:t>
            </w:r>
            <w:proofErr w:type="spellStart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Piazze</w:t>
            </w:r>
            <w:proofErr w:type="spellEnd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di </w:t>
            </w:r>
            <w:proofErr w:type="spellStart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Spagna</w:t>
            </w:r>
            <w:proofErr w:type="spellEnd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i Fontane di </w:t>
            </w:r>
            <w:proofErr w:type="spellStart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Trevi</w:t>
            </w:r>
            <w:proofErr w:type="spellEnd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Večera unutar aranžmana ili </w:t>
            </w:r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u Rimu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ili u </w:t>
            </w:r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hotelu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( ovisno o programu razg</w:t>
            </w:r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l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eda). </w:t>
            </w:r>
            <w:r w:rsidR="00C836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Noćenje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3.</w:t>
            </w:r>
            <w:r w:rsidR="006D23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dan  RIM</w:t>
            </w:r>
            <w:r w:rsidRPr="007860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- ZAGREB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Doručak. </w:t>
            </w:r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Odlazak u razgled </w:t>
            </w:r>
            <w:proofErr w:type="spellStart"/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Kalistovih</w:t>
            </w:r>
            <w:proofErr w:type="spellEnd"/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Katakombi i </w:t>
            </w:r>
            <w:proofErr w:type="spellStart"/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Circus</w:t>
            </w:r>
            <w:proofErr w:type="spellEnd"/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Maximus</w:t>
            </w:r>
            <w:proofErr w:type="spellEnd"/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. Odl</w:t>
            </w:r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azak prema </w:t>
            </w:r>
            <w:proofErr w:type="spellStart"/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Sieni</w:t>
            </w:r>
            <w:proofErr w:type="spellEnd"/>
            <w:r w:rsidR="007C5F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proofErr w:type="spellStart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Rezgled</w:t>
            </w:r>
            <w:proofErr w:type="spellEnd"/>
            <w:r w:rsidR="0036242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- </w:t>
            </w:r>
            <w:proofErr w:type="spellStart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Piazza</w:t>
            </w:r>
            <w:proofErr w:type="spellEnd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del </w:t>
            </w:r>
            <w:proofErr w:type="spellStart"/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Campo</w:t>
            </w:r>
            <w:proofErr w:type="spellEnd"/>
            <w:r w:rsidR="0024766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…</w:t>
            </w:r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Slo</w:t>
            </w:r>
            <w:r w:rsidR="006D23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bodno vrijeme za ručak. Polazak</w:t>
            </w:r>
            <w:r w:rsidR="008A700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prema Zagrebu.</w:t>
            </w:r>
          </w:p>
          <w:p w:rsidR="006140C4" w:rsidRPr="00786022" w:rsidRDefault="00786022" w:rsidP="008A700F">
            <w:pPr>
              <w:pStyle w:val="Odlomakpopisa"/>
              <w:spacing w:after="0" w:line="240" w:lineRule="auto"/>
              <w:ind w:left="34" w:hanging="34"/>
              <w:rPr>
                <w:rFonts w:cs="Calibri"/>
                <w:sz w:val="20"/>
                <w:szCs w:val="20"/>
                <w:vertAlign w:val="superscript"/>
              </w:rPr>
            </w:pPr>
            <w:r w:rsidRPr="00786022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Dolazak u Zagreb u kasnim večernjim satima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BF1EA4" w:rsidP="002A6E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D2387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7C5F20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7C5F20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BF1EA4" w:rsidP="002A6E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EC3EF4" w:rsidRDefault="00DD423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02378F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27.2.2018. u 14.00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40C4" w:rsidRPr="003A2770" w:rsidRDefault="006140C4" w:rsidP="00CA7A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02378F" w:rsidP="00CA7A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2.3.2018.</w:t>
            </w:r>
            <w:bookmarkStart w:id="0" w:name="_GoBack"/>
            <w:bookmarkEnd w:id="0"/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F90F49" w:rsidP="00BF1EA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02F10">
              <w:rPr>
                <w:rFonts w:ascii="Times New Roman" w:hAnsi="Times New Roman"/>
              </w:rPr>
              <w:t>14</w:t>
            </w:r>
            <w:r w:rsidR="00FB7182">
              <w:rPr>
                <w:rFonts w:ascii="Times New Roman" w:hAnsi="Times New Roman"/>
              </w:rPr>
              <w:t>,00</w:t>
            </w:r>
            <w:r w:rsidR="00BF1E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sati,</w:t>
            </w:r>
            <w:r w:rsidR="00BF1EA4">
              <w:rPr>
                <w:rFonts w:ascii="Times New Roman" w:hAnsi="Times New Roman"/>
              </w:rPr>
              <w:t xml:space="preserve"> prostorija</w:t>
            </w:r>
            <w:r w:rsidR="00FB7182">
              <w:rPr>
                <w:rFonts w:ascii="Times New Roman" w:hAnsi="Times New Roman"/>
              </w:rPr>
              <w:t xml:space="preserve"> D-25</w:t>
            </w:r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2C62BF" w:rsidRDefault="006140C4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6140C4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F90F49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c) uvjeti putovanja</w:t>
      </w:r>
    </w:p>
    <w:p w:rsidR="00F90F49" w:rsidRPr="002C62BF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d) predložak ugovora s roditeljima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01D8"/>
    <w:multiLevelType w:val="hybridMultilevel"/>
    <w:tmpl w:val="B3AC45AE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0C4"/>
    <w:rsid w:val="0002378F"/>
    <w:rsid w:val="00080ABD"/>
    <w:rsid w:val="000A6A0F"/>
    <w:rsid w:val="000F337C"/>
    <w:rsid w:val="00125E59"/>
    <w:rsid w:val="00166F2A"/>
    <w:rsid w:val="00167D39"/>
    <w:rsid w:val="00194102"/>
    <w:rsid w:val="001C32B5"/>
    <w:rsid w:val="001C6F31"/>
    <w:rsid w:val="001E487C"/>
    <w:rsid w:val="00203A2E"/>
    <w:rsid w:val="00225BF9"/>
    <w:rsid w:val="00247660"/>
    <w:rsid w:val="0028061E"/>
    <w:rsid w:val="002A6E26"/>
    <w:rsid w:val="0031176A"/>
    <w:rsid w:val="0031798A"/>
    <w:rsid w:val="00362420"/>
    <w:rsid w:val="003F26B2"/>
    <w:rsid w:val="00480D9A"/>
    <w:rsid w:val="004E68AD"/>
    <w:rsid w:val="005210AF"/>
    <w:rsid w:val="00533966"/>
    <w:rsid w:val="00564554"/>
    <w:rsid w:val="005967C5"/>
    <w:rsid w:val="005A763B"/>
    <w:rsid w:val="006140C4"/>
    <w:rsid w:val="006A60A8"/>
    <w:rsid w:val="006D2387"/>
    <w:rsid w:val="00720498"/>
    <w:rsid w:val="00786022"/>
    <w:rsid w:val="007C5F20"/>
    <w:rsid w:val="00825F9A"/>
    <w:rsid w:val="00854DA3"/>
    <w:rsid w:val="008A700F"/>
    <w:rsid w:val="008C5582"/>
    <w:rsid w:val="008E1668"/>
    <w:rsid w:val="008E3B49"/>
    <w:rsid w:val="009107B2"/>
    <w:rsid w:val="00926DB3"/>
    <w:rsid w:val="00A02F10"/>
    <w:rsid w:val="00A228E4"/>
    <w:rsid w:val="00A92ED4"/>
    <w:rsid w:val="00AA1D01"/>
    <w:rsid w:val="00AC11B3"/>
    <w:rsid w:val="00B108F6"/>
    <w:rsid w:val="00B1672B"/>
    <w:rsid w:val="00B7747B"/>
    <w:rsid w:val="00BA0CFE"/>
    <w:rsid w:val="00BA25C1"/>
    <w:rsid w:val="00BC6AE6"/>
    <w:rsid w:val="00BF1EA4"/>
    <w:rsid w:val="00C836F3"/>
    <w:rsid w:val="00CA7AC7"/>
    <w:rsid w:val="00DA247B"/>
    <w:rsid w:val="00DD423C"/>
    <w:rsid w:val="00E63D54"/>
    <w:rsid w:val="00E90AE7"/>
    <w:rsid w:val="00EC3EF4"/>
    <w:rsid w:val="00EF4ABE"/>
    <w:rsid w:val="00EF7D0C"/>
    <w:rsid w:val="00F90F49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EF9"/>
  <w15:docId w15:val="{66DFD3EC-4F65-4358-86ED-B6B8DAD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7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76A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86022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9D69-38C8-4FE9-B420-1B59373E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skola</cp:lastModifiedBy>
  <cp:revision>2</cp:revision>
  <cp:lastPrinted>2018-02-19T11:39:00Z</cp:lastPrinted>
  <dcterms:created xsi:type="dcterms:W3CDTF">2018-02-19T11:39:00Z</dcterms:created>
  <dcterms:modified xsi:type="dcterms:W3CDTF">2018-02-19T11:39:00Z</dcterms:modified>
</cp:coreProperties>
</file>