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A47" w:rsidRPr="00B36449" w:rsidRDefault="00915A47" w:rsidP="00B36449">
      <w:pPr>
        <w:spacing w:after="0"/>
        <w:jc w:val="center"/>
        <w:rPr>
          <w:b/>
          <w:sz w:val="28"/>
          <w:szCs w:val="28"/>
        </w:rPr>
      </w:pPr>
      <w:r w:rsidRPr="00B36449">
        <w:rPr>
          <w:b/>
          <w:sz w:val="28"/>
          <w:szCs w:val="28"/>
        </w:rPr>
        <w:t>Obrazloženj</w:t>
      </w:r>
      <w:r w:rsidR="009928CC">
        <w:rPr>
          <w:b/>
          <w:sz w:val="28"/>
          <w:szCs w:val="28"/>
        </w:rPr>
        <w:t>e</w:t>
      </w:r>
      <w:r w:rsidRPr="00B36449">
        <w:rPr>
          <w:b/>
          <w:sz w:val="28"/>
          <w:szCs w:val="28"/>
        </w:rPr>
        <w:t xml:space="preserve"> financijskog plana</w:t>
      </w:r>
      <w:r w:rsidR="00B36449" w:rsidRPr="00B36449">
        <w:rPr>
          <w:b/>
          <w:sz w:val="28"/>
          <w:szCs w:val="28"/>
        </w:rPr>
        <w:t xml:space="preserve"> za 202</w:t>
      </w:r>
      <w:r w:rsidR="00345F99">
        <w:rPr>
          <w:b/>
          <w:sz w:val="28"/>
          <w:szCs w:val="28"/>
        </w:rPr>
        <w:t>6</w:t>
      </w:r>
      <w:r w:rsidR="00B36449" w:rsidRPr="00B36449">
        <w:rPr>
          <w:b/>
          <w:sz w:val="28"/>
          <w:szCs w:val="28"/>
        </w:rPr>
        <w:t>.g.</w:t>
      </w:r>
    </w:p>
    <w:p w:rsidR="00915A47" w:rsidRDefault="00915A47" w:rsidP="00915A47">
      <w:pPr>
        <w:spacing w:after="0"/>
      </w:pPr>
      <w:r>
        <w:tab/>
      </w:r>
    </w:p>
    <w:p w:rsidR="00915A47" w:rsidRDefault="00915A47" w:rsidP="00915A47">
      <w:pPr>
        <w:spacing w:after="0"/>
      </w:pPr>
      <w:r>
        <w:tab/>
      </w:r>
    </w:p>
    <w:p w:rsidR="00915A47" w:rsidRDefault="00915A47" w:rsidP="00915A47">
      <w:pPr>
        <w:spacing w:after="0"/>
      </w:pPr>
      <w:r>
        <w:t>NAZIV KORISNIKA:</w:t>
      </w:r>
      <w:r>
        <w:tab/>
      </w:r>
      <w:r w:rsidRPr="005C34D3">
        <w:rPr>
          <w:b/>
        </w:rPr>
        <w:t>PRIRODOSLOVNA ŠKOLA VLADIMIRA PRELOGA</w:t>
      </w:r>
    </w:p>
    <w:p w:rsidR="00856939" w:rsidRPr="00856939" w:rsidRDefault="00856939" w:rsidP="00856939">
      <w:pPr>
        <w:widowControl w:val="0"/>
        <w:autoSpaceDE w:val="0"/>
        <w:autoSpaceDN w:val="0"/>
        <w:adjustRightInd w:val="0"/>
        <w:spacing w:after="0" w:line="360" w:lineRule="auto"/>
      </w:pPr>
      <w:r w:rsidRPr="00856939">
        <w:t>Broj RKP-a:</w:t>
      </w:r>
      <w:r w:rsidRPr="00856939">
        <w:tab/>
      </w:r>
      <w:r w:rsidRPr="00856939">
        <w:tab/>
        <w:t>16588</w:t>
      </w:r>
      <w:r w:rsidRPr="00856939">
        <w:tab/>
      </w:r>
      <w:r w:rsidRPr="00856939">
        <w:tab/>
      </w:r>
      <w:r w:rsidRPr="00856939">
        <w:tab/>
      </w:r>
    </w:p>
    <w:p w:rsidR="00856939" w:rsidRPr="00856939" w:rsidRDefault="00856939" w:rsidP="00856939">
      <w:pPr>
        <w:widowControl w:val="0"/>
        <w:autoSpaceDE w:val="0"/>
        <w:autoSpaceDN w:val="0"/>
        <w:adjustRightInd w:val="0"/>
        <w:spacing w:after="0" w:line="360" w:lineRule="auto"/>
      </w:pPr>
      <w:r w:rsidRPr="00856939">
        <w:t>Matični broj:</w:t>
      </w:r>
      <w:r w:rsidRPr="00856939">
        <w:tab/>
      </w:r>
      <w:r w:rsidRPr="00856939">
        <w:tab/>
        <w:t>3276520</w:t>
      </w:r>
      <w:r w:rsidRPr="00856939">
        <w:tab/>
      </w:r>
      <w:r w:rsidRPr="00856939">
        <w:tab/>
      </w:r>
      <w:r w:rsidRPr="00856939">
        <w:tab/>
      </w:r>
      <w:r w:rsidRPr="00856939">
        <w:tab/>
      </w:r>
    </w:p>
    <w:p w:rsidR="00856939" w:rsidRPr="00856939" w:rsidRDefault="00856939" w:rsidP="00856939">
      <w:pPr>
        <w:widowControl w:val="0"/>
        <w:autoSpaceDE w:val="0"/>
        <w:autoSpaceDN w:val="0"/>
        <w:adjustRightInd w:val="0"/>
        <w:spacing w:after="0" w:line="360" w:lineRule="auto"/>
      </w:pPr>
      <w:r w:rsidRPr="00856939">
        <w:t>Oznaka razine:</w:t>
      </w:r>
      <w:r w:rsidRPr="00856939">
        <w:tab/>
      </w:r>
      <w:r>
        <w:t xml:space="preserve">              </w:t>
      </w:r>
      <w:r w:rsidRPr="00856939">
        <w:t>31</w:t>
      </w:r>
    </w:p>
    <w:p w:rsidR="00856939" w:rsidRPr="00856939" w:rsidRDefault="00856939" w:rsidP="00856939">
      <w:pPr>
        <w:widowControl w:val="0"/>
        <w:autoSpaceDE w:val="0"/>
        <w:autoSpaceDN w:val="0"/>
        <w:adjustRightInd w:val="0"/>
        <w:spacing w:after="0" w:line="360" w:lineRule="auto"/>
      </w:pPr>
      <w:r w:rsidRPr="00856939">
        <w:t>Šifra djelatnosti:</w:t>
      </w:r>
      <w:r w:rsidRPr="00856939">
        <w:tab/>
        <w:t>8532</w:t>
      </w:r>
    </w:p>
    <w:p w:rsidR="00856939" w:rsidRPr="00856939" w:rsidRDefault="00856939" w:rsidP="00856939">
      <w:pPr>
        <w:widowControl w:val="0"/>
        <w:autoSpaceDE w:val="0"/>
        <w:autoSpaceDN w:val="0"/>
        <w:adjustRightInd w:val="0"/>
        <w:spacing w:after="0" w:line="360" w:lineRule="auto"/>
      </w:pPr>
      <w:r w:rsidRPr="00856939">
        <w:t>Šifra grada:</w:t>
      </w:r>
      <w:r w:rsidRPr="00856939">
        <w:tab/>
      </w:r>
      <w:r w:rsidRPr="00856939">
        <w:tab/>
        <w:t>133</w:t>
      </w:r>
    </w:p>
    <w:p w:rsidR="00856939" w:rsidRDefault="003E5705" w:rsidP="00915A47">
      <w:pPr>
        <w:spacing w:after="0"/>
      </w:pPr>
      <w:r>
        <w:t>OIB:                                   72166604204</w:t>
      </w:r>
    </w:p>
    <w:p w:rsidR="00915A47" w:rsidRDefault="00915A47" w:rsidP="00915A47">
      <w:pPr>
        <w:spacing w:after="0"/>
      </w:pPr>
      <w:r>
        <w:tab/>
      </w:r>
    </w:p>
    <w:p w:rsidR="00915A47" w:rsidRDefault="003E5705" w:rsidP="003E5705">
      <w:pPr>
        <w:spacing w:after="0"/>
      </w:pPr>
      <w:r>
        <w:rPr>
          <w:b/>
        </w:rPr>
        <w:t xml:space="preserve">1. </w:t>
      </w:r>
      <w:r w:rsidR="00915A47" w:rsidRPr="003E5705">
        <w:rPr>
          <w:b/>
        </w:rPr>
        <w:t>SAŽETAK DJELOKRUGA:</w:t>
      </w:r>
      <w:r w:rsidR="00915A47" w:rsidRPr="003E5705">
        <w:rPr>
          <w:b/>
        </w:rPr>
        <w:tab/>
      </w:r>
      <w:r w:rsidR="00915A47">
        <w:t>ODGOJ I OBRAZOVANJE</w:t>
      </w:r>
    </w:p>
    <w:p w:rsidR="003238C0" w:rsidRPr="003E5705" w:rsidRDefault="003238C0" w:rsidP="003E5705">
      <w:pPr>
        <w:pStyle w:val="Standard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Prirodoslovna škola Vladimira Preloga spada u </w:t>
      </w:r>
      <w:proofErr w:type="gramStart"/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skupinu  strukovnih</w:t>
      </w:r>
      <w:proofErr w:type="gramEnd"/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srednj</w:t>
      </w:r>
      <w:r w:rsid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oškolskih obrazovnih ustanova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, a  upisuju ju učenici pretežno prirodoslovnoga interesa</w:t>
      </w:r>
      <w:r w:rsid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,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jer nudi smjerove s naglaskom na obrazovanju prirodoslovne skupine predmeta:</w:t>
      </w:r>
    </w:p>
    <w:p w:rsidR="003238C0" w:rsidRPr="003E5705" w:rsidRDefault="003238C0" w:rsidP="003238C0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kemijski tehničar</w:t>
      </w:r>
    </w:p>
    <w:p w:rsidR="003238C0" w:rsidRPr="003E5705" w:rsidRDefault="003238C0" w:rsidP="003238C0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geološki tehničar</w:t>
      </w:r>
    </w:p>
    <w:p w:rsidR="003238C0" w:rsidRPr="003E5705" w:rsidRDefault="003238C0" w:rsidP="003238C0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kozmetičar</w:t>
      </w:r>
    </w:p>
    <w:p w:rsidR="003238C0" w:rsidRPr="003E5705" w:rsidRDefault="003238C0" w:rsidP="003238C0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prirodoslovna gimnazija</w:t>
      </w:r>
    </w:p>
    <w:p w:rsidR="003238C0" w:rsidRPr="003E5705" w:rsidRDefault="003238C0" w:rsidP="003238C0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prirodoslovna gimnazija – sportski razredni odjel</w:t>
      </w:r>
    </w:p>
    <w:p w:rsidR="003238C0" w:rsidRPr="003E5705" w:rsidRDefault="003238C0" w:rsidP="003238C0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prirodoslovna gimnazija – dvojezični razredni odjel</w:t>
      </w:r>
    </w:p>
    <w:p w:rsidR="003238C0" w:rsidRPr="003E5705" w:rsidRDefault="003238C0" w:rsidP="003238C0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8F1E36" w:rsidRPr="003E5705" w:rsidRDefault="008F1E36" w:rsidP="003E5705">
      <w:pPr>
        <w:jc w:val="both"/>
      </w:pPr>
      <w:r w:rsidRPr="003E5705">
        <w:t xml:space="preserve"> Nastava je organizirana u jutarnjoj smjeni, u petodnevnom radnom tjednu sa slobodnim subotama. </w:t>
      </w:r>
      <w:r w:rsidR="00B61C64">
        <w:t xml:space="preserve">Vrijeme nakon jutarnje smjene </w:t>
      </w:r>
      <w:r w:rsidRPr="003E5705">
        <w:t xml:space="preserve">koristimo za bifurkaciju učenja stranih </w:t>
      </w:r>
      <w:proofErr w:type="gramStart"/>
      <w:r w:rsidRPr="003E5705">
        <w:t>jezika</w:t>
      </w:r>
      <w:r w:rsidR="00865835" w:rsidRPr="003E5705">
        <w:t xml:space="preserve">, </w:t>
      </w:r>
      <w:r w:rsidRPr="003E5705">
        <w:t xml:space="preserve"> i</w:t>
      </w:r>
      <w:proofErr w:type="gramEnd"/>
      <w:r w:rsidRPr="003E5705">
        <w:t xml:space="preserve"> održavanje sjednica stručnih, razrednih i nastavničkih vijeća. </w:t>
      </w:r>
    </w:p>
    <w:p w:rsidR="008F1E36" w:rsidRPr="003E5705" w:rsidRDefault="008F1E36" w:rsidP="003E5705">
      <w:pPr>
        <w:jc w:val="both"/>
      </w:pPr>
      <w:r w:rsidRPr="003E5705">
        <w:t xml:space="preserve">Nastava </w:t>
      </w:r>
      <w:proofErr w:type="gramStart"/>
      <w:r w:rsidRPr="003E5705">
        <w:t>se,  redovna</w:t>
      </w:r>
      <w:proofErr w:type="gramEnd"/>
      <w:r w:rsidRPr="003E5705">
        <w:t>, izborna, dodatna i dopunska, izvodi prema nastavnim planovima i programima, koje je donijelo Ministarstva znanosti, obrazovanja i športa, operativnom Godišnjem izvedbenom odgojno-obrazovnom planu i programu rada te školskom kurikulumu za školsku godinu 20</w:t>
      </w:r>
      <w:r w:rsidR="00865835" w:rsidRPr="003E5705">
        <w:t>2</w:t>
      </w:r>
      <w:r w:rsidR="00345F99">
        <w:t>5</w:t>
      </w:r>
      <w:r w:rsidRPr="003E5705">
        <w:t>./20</w:t>
      </w:r>
      <w:r w:rsidR="00865835" w:rsidRPr="003E5705">
        <w:t>2</w:t>
      </w:r>
      <w:r w:rsidR="00345F99">
        <w:t>6</w:t>
      </w:r>
      <w:r w:rsidRPr="003E5705">
        <w:t>.</w:t>
      </w:r>
    </w:p>
    <w:p w:rsidR="008F1E36" w:rsidRPr="003E5705" w:rsidRDefault="008F1E36" w:rsidP="003E5705">
      <w:pPr>
        <w:pStyle w:val="Uvuenotijeloteksta"/>
        <w:spacing w:line="240" w:lineRule="auto"/>
        <w:ind w:firstLine="0"/>
        <w:jc w:val="both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Školu polazi </w:t>
      </w:r>
      <w:r w:rsidR="00865835"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>10</w:t>
      </w:r>
      <w:r w:rsidR="001B5500">
        <w:rPr>
          <w:rFonts w:asciiTheme="minorHAnsi" w:eastAsiaTheme="minorHAnsi" w:hAnsiTheme="minorHAnsi" w:cstheme="minorBidi"/>
          <w:sz w:val="22"/>
          <w:szCs w:val="22"/>
          <w:lang w:val="en-US"/>
        </w:rPr>
        <w:t>54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učenika u </w:t>
      </w:r>
      <w:r w:rsidR="00865835"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>4</w:t>
      </w:r>
      <w:r w:rsidR="000602F9">
        <w:rPr>
          <w:rFonts w:asciiTheme="minorHAnsi" w:eastAsiaTheme="minorHAnsi" w:hAnsiTheme="minorHAnsi" w:cstheme="minorBidi"/>
          <w:sz w:val="22"/>
          <w:szCs w:val="22"/>
          <w:lang w:val="en-US"/>
        </w:rPr>
        <w:t>2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razrednih odjela. Planiramo da će se od početka školske godine </w:t>
      </w:r>
      <w:proofErr w:type="gramStart"/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>202</w:t>
      </w:r>
      <w:r w:rsidR="00B61C64">
        <w:rPr>
          <w:rFonts w:asciiTheme="minorHAnsi" w:eastAsiaTheme="minorHAnsi" w:hAnsiTheme="minorHAnsi" w:cstheme="minorBidi"/>
          <w:sz w:val="22"/>
          <w:szCs w:val="22"/>
          <w:lang w:val="en-US"/>
        </w:rPr>
        <w:t>6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>./</w:t>
      </w:r>
      <w:proofErr w:type="gramEnd"/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>20</w:t>
      </w:r>
      <w:r w:rsidR="00865835"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>2</w:t>
      </w:r>
      <w:r w:rsidR="00AC26FD">
        <w:rPr>
          <w:rFonts w:asciiTheme="minorHAnsi" w:eastAsiaTheme="minorHAnsi" w:hAnsiTheme="minorHAnsi" w:cstheme="minorBidi"/>
          <w:sz w:val="22"/>
          <w:szCs w:val="22"/>
          <w:lang w:val="en-US"/>
        </w:rPr>
        <w:t>6</w:t>
      </w:r>
      <w:r w:rsidR="00B61C64">
        <w:rPr>
          <w:rFonts w:asciiTheme="minorHAnsi" w:eastAsiaTheme="minorHAnsi" w:hAnsiTheme="minorHAnsi" w:cstheme="minorBidi"/>
          <w:sz w:val="22"/>
          <w:szCs w:val="22"/>
          <w:lang w:val="en-US"/>
        </w:rPr>
        <w:t>7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nastava odvijati </w:t>
      </w:r>
      <w:r w:rsidR="00B61C64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također 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u </w:t>
      </w:r>
      <w:r w:rsidR="00865835"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>4</w:t>
      </w:r>
      <w:r w:rsidR="000602F9">
        <w:rPr>
          <w:rFonts w:asciiTheme="minorHAnsi" w:eastAsiaTheme="minorHAnsi" w:hAnsiTheme="minorHAnsi" w:cstheme="minorBidi"/>
          <w:sz w:val="22"/>
          <w:szCs w:val="22"/>
          <w:lang w:val="en-US"/>
        </w:rPr>
        <w:t>2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razredn</w:t>
      </w:r>
      <w:r w:rsidR="00865835"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>a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odjela s </w:t>
      </w:r>
      <w:r w:rsidR="006251E2">
        <w:rPr>
          <w:rFonts w:asciiTheme="minorHAnsi" w:eastAsiaTheme="minorHAnsi" w:hAnsiTheme="minorHAnsi" w:cstheme="minorBidi"/>
          <w:sz w:val="22"/>
          <w:szCs w:val="22"/>
          <w:lang w:val="en-US"/>
        </w:rPr>
        <w:t>oko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r w:rsidR="00865835"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>10</w:t>
      </w:r>
      <w:r w:rsidR="00B61C64">
        <w:rPr>
          <w:rFonts w:asciiTheme="minorHAnsi" w:eastAsiaTheme="minorHAnsi" w:hAnsiTheme="minorHAnsi" w:cstheme="minorBidi"/>
          <w:sz w:val="22"/>
          <w:szCs w:val="22"/>
          <w:lang w:val="en-US"/>
        </w:rPr>
        <w:t>50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upisanih učenika.</w:t>
      </w:r>
    </w:p>
    <w:p w:rsidR="00915A47" w:rsidRDefault="00915A47" w:rsidP="00915A47">
      <w:pPr>
        <w:spacing w:after="0"/>
      </w:pPr>
      <w:r>
        <w:tab/>
      </w:r>
      <w:r>
        <w:tab/>
      </w:r>
    </w:p>
    <w:p w:rsidR="003E5705" w:rsidRDefault="00915A47" w:rsidP="00915A47">
      <w:pPr>
        <w:spacing w:after="0"/>
      </w:pPr>
      <w:r w:rsidRPr="00915A47">
        <w:rPr>
          <w:b/>
        </w:rPr>
        <w:t>2.  CILJEVI</w:t>
      </w:r>
      <w:r>
        <w:t xml:space="preserve"> </w:t>
      </w:r>
    </w:p>
    <w:p w:rsidR="003E5705" w:rsidRDefault="003E5705" w:rsidP="00915A47">
      <w:pPr>
        <w:spacing w:after="0"/>
      </w:pPr>
    </w:p>
    <w:p w:rsidR="00915A47" w:rsidRDefault="00915A47" w:rsidP="003E5705">
      <w:pPr>
        <w:spacing w:after="0"/>
        <w:jc w:val="both"/>
      </w:pPr>
      <w:r>
        <w:t xml:space="preserve">Cilj nam je kroz kvalitetno obrazovanje i odgoj učenika, osigurati kvalitetu i raznolikost programa sukladno potrebama i interesima učenika kao i tržišta rada. Kroz stalno usavršavanje nastavnika, informatizaciju škole i laboratorija u sljedeće tri godine nastojati ćemo podići kvalitetu nastave na što višu razinu. Učenike ćemo poticati na izražavanje kreativnosti, talenata i sposobnosti kroz uključivanje u slobodne aktivnosti, istraživačku nastavu, natjecanja te druge školske projekte, </w:t>
      </w:r>
      <w:r>
        <w:lastRenderedPageBreak/>
        <w:t>priredbi i manifestacija.  Poticat će se komunikacija na relaciji učenik-profesor-roditelj. Podupiremo programe/projekte u vezi s korištenjem sredstava EU</w:t>
      </w:r>
    </w:p>
    <w:p w:rsidR="00915A47" w:rsidRDefault="00915A47" w:rsidP="00915A47">
      <w:pPr>
        <w:spacing w:after="0"/>
      </w:pPr>
      <w:r>
        <w:tab/>
      </w:r>
      <w:r>
        <w:tab/>
      </w:r>
    </w:p>
    <w:p w:rsidR="003E5705" w:rsidRDefault="00915A47" w:rsidP="00915A47">
      <w:pPr>
        <w:spacing w:after="0"/>
      </w:pPr>
      <w:r w:rsidRPr="00915A47">
        <w:rPr>
          <w:b/>
        </w:rPr>
        <w:t>3. NAČIN OSTVARENJA CILJA</w:t>
      </w:r>
      <w:r>
        <w:t xml:space="preserve"> </w:t>
      </w:r>
    </w:p>
    <w:p w:rsidR="003E5705" w:rsidRDefault="003E5705" w:rsidP="003E5705">
      <w:pPr>
        <w:spacing w:after="0"/>
        <w:jc w:val="both"/>
      </w:pPr>
    </w:p>
    <w:p w:rsidR="00915A47" w:rsidRDefault="00915A47" w:rsidP="003E5705">
      <w:pPr>
        <w:spacing w:after="0"/>
        <w:jc w:val="both"/>
      </w:pPr>
      <w:r>
        <w:t xml:space="preserve">Programe u školi provode nastavnici uz pomoć stručnih suradnika i podršku tehničko-administrativne službe. Korisnici usluga su učenici, koji kroz pohađanje redovne nastave, ali i izvannastavnih aktivnosti sudjeluju u procesu odgoja i obrazovanja i stječu kompetencije potrebne za daljnje školovanje ili za izlazak na tržište rada. Usavršavanje </w:t>
      </w:r>
      <w:proofErr w:type="gramStart"/>
      <w:r>
        <w:t>nastavnika  provodi</w:t>
      </w:r>
      <w:proofErr w:type="gramEnd"/>
      <w:r>
        <w:t xml:space="preserve"> se kroz razne seminare, stručne skupove i aktive, ali i kroz projekte financirane iz Europske unije u kojima škola sudjeluje. Kvalitetno obrazovanje i razvoj raznih vještina kod učenika postiže se kroz organiziranje natjecanja, priredbi, manifestacija i projekata. Učenici se u školi mogu uključiti u novinarsku i dramsku grupu, rad medijskog centra, volonterski klub, sportske aktivosti (nogomet, odbojka, košarka, rukomet, stolni tenis, plivanje i dr.), radijsku skupinu, plesnu skupinu i u razne druge aktivnosti. Svake godine se prati broj učenika koji je uključen u projekte, volontiranje, natjecanja te u sportske aktivnosti i taj se broj nastoji povećati. Osim navedenog učenici mogu izabrati i pohađanje nastave jednog od 15 kurikuluma razvijenih kroz projekt Znanost+.</w:t>
      </w:r>
    </w:p>
    <w:p w:rsidR="00915A47" w:rsidRDefault="00915A47" w:rsidP="00915A47">
      <w:pPr>
        <w:spacing w:after="0"/>
      </w:pPr>
      <w:r>
        <w:tab/>
      </w:r>
      <w:r>
        <w:tab/>
      </w:r>
    </w:p>
    <w:p w:rsidR="003E5705" w:rsidRDefault="00915A47" w:rsidP="00915A47">
      <w:pPr>
        <w:spacing w:after="0"/>
        <w:rPr>
          <w:b/>
        </w:rPr>
      </w:pPr>
      <w:r w:rsidRPr="00915A47">
        <w:rPr>
          <w:b/>
        </w:rPr>
        <w:t>4. ZAKONSKE I DRUGE PODLOGE NA KOJIMA SE ZASNIVA PROGRAM</w:t>
      </w:r>
    </w:p>
    <w:p w:rsidR="00915A47" w:rsidRDefault="00915A47" w:rsidP="00915A47">
      <w:pPr>
        <w:spacing w:after="0"/>
      </w:pPr>
      <w:r>
        <w:t>Zakon o odgoju i obrazovanju, NN, br. 87/08., 86/09., 92/10., 90/11, Zakon o ustanovama, (NN,br. 76/93., 29/97., 47/99., 35/08.), Zakon o proračunu (NN br.87/08.26/10), Pravilnik o proračunskim klasifikacijama (NN, br.26/10.), Pravilnik o proračunskom računovodstvu i računskom planu (NN br.114/10, 31/11 i 87/16), Upute za izradi proračuna lokalne(regionalne) samouprave za razdoblje 2019.-2021., Zakonu o fiskalnoj odgovornosti (NN 139/10 i 19/14) i Uredba o sastavljanju i predaji Izjave o fiskalnoj odgovornosti i izvještaja o primjeni fiskalnih pravila (NN broj 78./11.), Godišnji plan i program rada škole, Školski kurikulum</w:t>
      </w:r>
    </w:p>
    <w:p w:rsidR="00580DEC" w:rsidRPr="00580DEC" w:rsidRDefault="00580DEC" w:rsidP="00580DEC">
      <w:pPr>
        <w:spacing w:after="0"/>
        <w:rPr>
          <w:lang w:val="hr-HR"/>
        </w:rPr>
      </w:pPr>
    </w:p>
    <w:p w:rsidR="00580DEC" w:rsidRPr="00580DEC" w:rsidRDefault="00580DEC" w:rsidP="00580DEC">
      <w:pPr>
        <w:spacing w:after="0"/>
        <w:rPr>
          <w:b/>
          <w:lang w:val="hr-HR"/>
        </w:rPr>
      </w:pPr>
      <w:r w:rsidRPr="00580DEC">
        <w:rPr>
          <w:b/>
          <w:lang w:val="hr-HR"/>
        </w:rPr>
        <w:t>5. ISHODIŠTA I POKAZATELJI NA KOJIMA SE ZASNIVAJU IZRAČUNI I OCJENE POTREBNIH SREDSTAVA  ZA PROVOĐENJE PROGRAMA</w:t>
      </w:r>
    </w:p>
    <w:p w:rsidR="00580DEC" w:rsidRPr="00580DEC" w:rsidRDefault="00580DEC" w:rsidP="00580DEC">
      <w:pPr>
        <w:spacing w:after="0"/>
        <w:rPr>
          <w:b/>
          <w:lang w:val="hr-HR"/>
        </w:rPr>
      </w:pPr>
      <w:r w:rsidRPr="00580DEC">
        <w:rPr>
          <w:b/>
          <w:lang w:val="hr-HR"/>
        </w:rPr>
        <w:t xml:space="preserve">Izvori sredstava za financiranje rada </w:t>
      </w:r>
      <w:r>
        <w:rPr>
          <w:b/>
          <w:lang w:val="hr-HR"/>
        </w:rPr>
        <w:t>Prir</w:t>
      </w:r>
      <w:r w:rsidR="00662EB6">
        <w:rPr>
          <w:b/>
          <w:lang w:val="hr-HR"/>
        </w:rPr>
        <w:t>o</w:t>
      </w:r>
      <w:r>
        <w:rPr>
          <w:b/>
          <w:lang w:val="hr-HR"/>
        </w:rPr>
        <w:t>doslovne škole Vladimira Preloga</w:t>
      </w:r>
      <w:r w:rsidRPr="00580DEC">
        <w:rPr>
          <w:b/>
          <w:lang w:val="hr-HR"/>
        </w:rPr>
        <w:t xml:space="preserve"> su:</w:t>
      </w:r>
    </w:p>
    <w:p w:rsidR="00580DEC" w:rsidRPr="00580DEC" w:rsidRDefault="00580DEC" w:rsidP="00580DEC">
      <w:pPr>
        <w:numPr>
          <w:ilvl w:val="0"/>
          <w:numId w:val="2"/>
        </w:numPr>
        <w:spacing w:after="0"/>
        <w:rPr>
          <w:lang w:val="hr-HR"/>
        </w:rPr>
      </w:pPr>
      <w:r w:rsidRPr="00580DEC">
        <w:rPr>
          <w:lang w:val="hr-HR"/>
        </w:rPr>
        <w:t>Opći prihodi i primitci, skupina 6</w:t>
      </w:r>
      <w:r w:rsidR="00FF7646">
        <w:rPr>
          <w:lang w:val="hr-HR"/>
        </w:rPr>
        <w:t>36</w:t>
      </w:r>
      <w:r w:rsidRPr="00580DEC">
        <w:rPr>
          <w:lang w:val="hr-HR"/>
        </w:rPr>
        <w:t>, državni proračun za financiranje rada zaposlenih radnika;</w:t>
      </w:r>
    </w:p>
    <w:p w:rsidR="00580DEC" w:rsidRPr="00580DEC" w:rsidRDefault="00580DEC" w:rsidP="00580DEC">
      <w:pPr>
        <w:numPr>
          <w:ilvl w:val="0"/>
          <w:numId w:val="2"/>
        </w:numPr>
        <w:spacing w:after="0"/>
        <w:rPr>
          <w:lang w:val="hr-HR"/>
        </w:rPr>
      </w:pPr>
      <w:r w:rsidRPr="00580DEC">
        <w:rPr>
          <w:lang w:val="hr-HR"/>
        </w:rPr>
        <w:t>Opći prihodi i primitci, skupina 671, regionalni proračun za materijalne troškove poslovanja te održavanje i obnovu nefinancijske imovine</w:t>
      </w:r>
      <w:r w:rsidR="003C38A2">
        <w:rPr>
          <w:lang w:val="hr-HR"/>
        </w:rPr>
        <w:t>- decentralizirana sredstva i pojačani standard</w:t>
      </w:r>
      <w:r w:rsidRPr="00580DEC">
        <w:rPr>
          <w:lang w:val="hr-HR"/>
        </w:rPr>
        <w:t>;</w:t>
      </w:r>
    </w:p>
    <w:p w:rsidR="00580DEC" w:rsidRPr="00580DEC" w:rsidRDefault="00580DEC" w:rsidP="00580DEC">
      <w:pPr>
        <w:numPr>
          <w:ilvl w:val="0"/>
          <w:numId w:val="2"/>
        </w:numPr>
        <w:spacing w:after="0"/>
        <w:rPr>
          <w:lang w:val="hr-HR"/>
        </w:rPr>
      </w:pPr>
      <w:r w:rsidRPr="00580DEC">
        <w:rPr>
          <w:lang w:val="hr-HR"/>
        </w:rPr>
        <w:t xml:space="preserve">Vlastiti prihodi od iznajmljivanja prostora, skupina 661, za provedbu dodatnih aktivnosti škole prema Planu i programu rada te obnovu nefinancijske imovine; </w:t>
      </w:r>
    </w:p>
    <w:p w:rsidR="00580DEC" w:rsidRPr="00580DEC" w:rsidRDefault="00580DEC" w:rsidP="00580DEC">
      <w:pPr>
        <w:numPr>
          <w:ilvl w:val="0"/>
          <w:numId w:val="2"/>
        </w:numPr>
        <w:spacing w:after="0"/>
        <w:rPr>
          <w:lang w:val="hr-HR"/>
        </w:rPr>
      </w:pPr>
      <w:r w:rsidRPr="00580DEC">
        <w:rPr>
          <w:lang w:val="hr-HR"/>
        </w:rPr>
        <w:t>Prihodi po posebnim propisima sastoje se od prihoda od sufinanciranja</w:t>
      </w:r>
      <w:r w:rsidR="00FF7646">
        <w:rPr>
          <w:lang w:val="hr-HR"/>
        </w:rPr>
        <w:t>:</w:t>
      </w:r>
      <w:r w:rsidRPr="00580DEC">
        <w:rPr>
          <w:lang w:val="hr-HR"/>
        </w:rPr>
        <w:t xml:space="preserve">  uplate roditelja za provedbu </w:t>
      </w:r>
      <w:r w:rsidR="00FF7646">
        <w:rPr>
          <w:lang w:val="hr-HR"/>
        </w:rPr>
        <w:t xml:space="preserve">dvojezičnog </w:t>
      </w:r>
      <w:r w:rsidRPr="00580DEC">
        <w:rPr>
          <w:lang w:val="hr-HR"/>
        </w:rPr>
        <w:t>program</w:t>
      </w:r>
      <w:r w:rsidR="00FF7646">
        <w:rPr>
          <w:lang w:val="hr-HR"/>
        </w:rPr>
        <w:t>a prirodoslovne gimnazije</w:t>
      </w:r>
      <w:r w:rsidRPr="00580DEC">
        <w:rPr>
          <w:lang w:val="hr-HR"/>
        </w:rPr>
        <w:t>,  prihod</w:t>
      </w:r>
      <w:r w:rsidR="00FF7646">
        <w:rPr>
          <w:lang w:val="hr-HR"/>
        </w:rPr>
        <w:t>i</w:t>
      </w:r>
      <w:r w:rsidRPr="00580DEC">
        <w:rPr>
          <w:lang w:val="hr-HR"/>
        </w:rPr>
        <w:t xml:space="preserve"> </w:t>
      </w:r>
      <w:r w:rsidR="00FF7646">
        <w:rPr>
          <w:lang w:val="hr-HR"/>
        </w:rPr>
        <w:t>za sufinanciranje izleta, uplate za  stručne ispite, koji se održavaju u našoj školi, uplate za refundaciju šteta u laboratoriju</w:t>
      </w:r>
      <w:r w:rsidRPr="00580DEC">
        <w:rPr>
          <w:lang w:val="hr-HR"/>
        </w:rPr>
        <w:t>;</w:t>
      </w:r>
    </w:p>
    <w:p w:rsidR="00580DEC" w:rsidRPr="00580DEC" w:rsidRDefault="00580DEC" w:rsidP="00580DEC">
      <w:pPr>
        <w:numPr>
          <w:ilvl w:val="0"/>
          <w:numId w:val="2"/>
        </w:numPr>
        <w:spacing w:after="0"/>
        <w:rPr>
          <w:lang w:val="hr-HR"/>
        </w:rPr>
      </w:pPr>
      <w:r w:rsidRPr="00580DEC">
        <w:rPr>
          <w:lang w:val="hr-HR"/>
        </w:rPr>
        <w:t>Donacije – strogo namjenska sredstva za održavanje i poboljšanje učeničkog standarda.</w:t>
      </w:r>
    </w:p>
    <w:p w:rsidR="00580DEC" w:rsidRDefault="00580DEC" w:rsidP="00580DEC">
      <w:pPr>
        <w:spacing w:after="0"/>
        <w:rPr>
          <w:lang w:val="hr-HR"/>
        </w:rPr>
      </w:pPr>
    </w:p>
    <w:p w:rsidR="000602F9" w:rsidRDefault="000602F9" w:rsidP="00580DEC">
      <w:pPr>
        <w:spacing w:after="0"/>
        <w:rPr>
          <w:lang w:val="hr-HR"/>
        </w:rPr>
      </w:pPr>
    </w:p>
    <w:p w:rsidR="000602F9" w:rsidRDefault="000602F9" w:rsidP="00580DEC">
      <w:pPr>
        <w:spacing w:after="0"/>
        <w:rPr>
          <w:lang w:val="hr-HR"/>
        </w:rPr>
      </w:pPr>
    </w:p>
    <w:p w:rsidR="00AC26FD" w:rsidRPr="00580DEC" w:rsidRDefault="00AC26FD" w:rsidP="00580DEC">
      <w:pPr>
        <w:spacing w:after="0"/>
        <w:rPr>
          <w:lang w:val="hr-HR"/>
        </w:rPr>
      </w:pPr>
    </w:p>
    <w:p w:rsidR="003C69AF" w:rsidRDefault="003C69AF" w:rsidP="00580DEC">
      <w:pPr>
        <w:spacing w:after="0"/>
        <w:rPr>
          <w:b/>
          <w:lang w:val="hr-HR"/>
        </w:rPr>
      </w:pPr>
    </w:p>
    <w:p w:rsidR="00580DEC" w:rsidRPr="00580DEC" w:rsidRDefault="00580DEC" w:rsidP="00580DEC">
      <w:pPr>
        <w:spacing w:after="0"/>
        <w:rPr>
          <w:b/>
          <w:lang w:val="hr-HR"/>
        </w:rPr>
      </w:pPr>
      <w:r w:rsidRPr="00580DEC">
        <w:rPr>
          <w:b/>
          <w:lang w:val="hr-HR"/>
        </w:rPr>
        <w:lastRenderedPageBreak/>
        <w:t xml:space="preserve">Prihodi iz državnoga proračuna </w:t>
      </w:r>
    </w:p>
    <w:p w:rsidR="00580DEC" w:rsidRPr="00580DEC" w:rsidRDefault="00580DEC" w:rsidP="00A017CF">
      <w:pPr>
        <w:spacing w:after="0"/>
        <w:jc w:val="both"/>
        <w:rPr>
          <w:lang w:val="hr-HR"/>
        </w:rPr>
      </w:pPr>
      <w:r w:rsidRPr="00580DEC">
        <w:rPr>
          <w:lang w:val="hr-HR"/>
        </w:rPr>
        <w:t xml:space="preserve">Prihod nisu planirani isključivo u skladu s propisanim indeksom rasta za tu vrstu rashoda, jer je bilo potrebno uzeti u obzir </w:t>
      </w:r>
      <w:r w:rsidR="00FF7646">
        <w:rPr>
          <w:lang w:val="hr-HR"/>
        </w:rPr>
        <w:t xml:space="preserve">planirano </w:t>
      </w:r>
      <w:r w:rsidRPr="00580DEC">
        <w:rPr>
          <w:lang w:val="hr-HR"/>
        </w:rPr>
        <w:t>povećanje</w:t>
      </w:r>
      <w:r w:rsidR="00FF7646">
        <w:rPr>
          <w:lang w:val="hr-HR"/>
        </w:rPr>
        <w:t xml:space="preserve"> </w:t>
      </w:r>
      <w:r w:rsidRPr="00580DEC">
        <w:rPr>
          <w:lang w:val="hr-HR"/>
        </w:rPr>
        <w:t>izdataka zbog povećanja dodataka na staž (0,5% po godini staža), što je uključeno u indeks,  te</w:t>
      </w:r>
      <w:r w:rsidR="00FF7646">
        <w:rPr>
          <w:lang w:val="hr-HR"/>
        </w:rPr>
        <w:t xml:space="preserve"> planirano povećanje osnovice za plaće</w:t>
      </w:r>
      <w:r w:rsidRPr="00580DEC">
        <w:rPr>
          <w:lang w:val="hr-HR"/>
        </w:rPr>
        <w:t>.  Također, upišemo li razred više, doći će do povećanja izdataka za redovni rad uz istovremeno smanjenje potreba za planiranim prekovremenim radom (dio sati  preko norme preuzet će novozaposleni radnici).</w:t>
      </w:r>
    </w:p>
    <w:p w:rsidR="00D82742" w:rsidRPr="005D42AF" w:rsidRDefault="00580DEC" w:rsidP="00A017CF">
      <w:pPr>
        <w:spacing w:after="0"/>
        <w:jc w:val="both"/>
        <w:rPr>
          <w:lang w:val="hr-HR"/>
        </w:rPr>
      </w:pPr>
      <w:r w:rsidRPr="00580DEC">
        <w:rPr>
          <w:lang w:val="hr-HR"/>
        </w:rPr>
        <w:t xml:space="preserve">Ostali troškovi za zaposlene: izdatci za regres, „božićnica“, dar djeci planirani su na  osnovi </w:t>
      </w:r>
      <w:r w:rsidR="00F74FC7">
        <w:rPr>
          <w:lang w:val="hr-HR"/>
        </w:rPr>
        <w:t>novog</w:t>
      </w:r>
      <w:r w:rsidRPr="00580DEC">
        <w:rPr>
          <w:lang w:val="hr-HR"/>
        </w:rPr>
        <w:t xml:space="preserve"> </w:t>
      </w:r>
      <w:r w:rsidR="000602F9">
        <w:rPr>
          <w:lang w:val="hr-HR"/>
        </w:rPr>
        <w:t>iznosa</w:t>
      </w:r>
      <w:r w:rsidRPr="00580DEC">
        <w:rPr>
          <w:lang w:val="hr-HR"/>
        </w:rPr>
        <w:t xml:space="preserve">. Statistički, svake godine imamo i izdatke za </w:t>
      </w:r>
      <w:r w:rsidR="00F74FC7">
        <w:rPr>
          <w:lang w:val="hr-HR"/>
        </w:rPr>
        <w:t>7</w:t>
      </w:r>
      <w:r w:rsidRPr="00580DEC">
        <w:rPr>
          <w:lang w:val="hr-HR"/>
        </w:rPr>
        <w:t xml:space="preserve"> pomoći za bolovanja duža od 3 mjeseca u godini. Također, trošak za isplatu  jubilarnih nagrada ovisi o broju zaposlenih koji navrše broj godina rada potrebnih za ugovorenu isplatu, što varira od </w:t>
      </w:r>
      <w:r w:rsidR="00A017CF">
        <w:rPr>
          <w:lang w:val="hr-HR"/>
        </w:rPr>
        <w:t>1</w:t>
      </w:r>
      <w:r w:rsidR="00F74FC7">
        <w:rPr>
          <w:lang w:val="hr-HR"/>
        </w:rPr>
        <w:t>0.000,00-1</w:t>
      </w:r>
      <w:r w:rsidR="00A017CF">
        <w:rPr>
          <w:lang w:val="hr-HR"/>
        </w:rPr>
        <w:t>4</w:t>
      </w:r>
      <w:r w:rsidR="00F74FC7">
        <w:rPr>
          <w:lang w:val="hr-HR"/>
        </w:rPr>
        <w:t xml:space="preserve">.000,00 </w:t>
      </w:r>
      <w:r w:rsidRPr="00580DEC">
        <w:rPr>
          <w:lang w:val="hr-HR"/>
        </w:rPr>
        <w:t xml:space="preserve"> </w:t>
      </w:r>
      <w:r w:rsidR="00A017CF">
        <w:rPr>
          <w:lang w:val="hr-HR"/>
        </w:rPr>
        <w:t>EUR</w:t>
      </w:r>
      <w:r w:rsidRPr="00580DEC">
        <w:rPr>
          <w:lang w:val="hr-HR"/>
        </w:rPr>
        <w:t xml:space="preserve"> po godini.</w:t>
      </w:r>
      <w:r w:rsidRPr="00580DEC">
        <w:rPr>
          <w:i/>
          <w:lang w:val="hr-HR"/>
        </w:rPr>
        <w:t xml:space="preserve"> </w:t>
      </w:r>
      <w:r w:rsidR="005D42AF">
        <w:rPr>
          <w:lang w:val="hr-HR"/>
        </w:rPr>
        <w:t xml:space="preserve">Planirano je i </w:t>
      </w:r>
      <w:r w:rsidR="00A017CF">
        <w:rPr>
          <w:lang w:val="hr-HR"/>
        </w:rPr>
        <w:t>65.000,00 EUR</w:t>
      </w:r>
      <w:r w:rsidR="005D42AF">
        <w:rPr>
          <w:lang w:val="hr-HR"/>
        </w:rPr>
        <w:t xml:space="preserve"> za isplatu plaća po sudskim presudama i  pripadajućim sudskim i parničnim troškovima sa zateznim kamatama. </w:t>
      </w:r>
    </w:p>
    <w:p w:rsidR="00D82742" w:rsidRDefault="00D82742" w:rsidP="00580DEC">
      <w:pPr>
        <w:spacing w:after="0"/>
        <w:rPr>
          <w:b/>
          <w:lang w:val="hr-HR"/>
        </w:rPr>
      </w:pPr>
    </w:p>
    <w:p w:rsidR="00580DEC" w:rsidRPr="00580DEC" w:rsidRDefault="00580DEC" w:rsidP="00580DEC">
      <w:pPr>
        <w:spacing w:after="0"/>
        <w:rPr>
          <w:lang w:val="hr-HR"/>
        </w:rPr>
      </w:pPr>
      <w:r w:rsidRPr="00580DEC">
        <w:rPr>
          <w:b/>
          <w:lang w:val="hr-HR"/>
        </w:rPr>
        <w:t xml:space="preserve">Prihodi od </w:t>
      </w:r>
      <w:r w:rsidR="006D40EC">
        <w:rPr>
          <w:b/>
          <w:lang w:val="hr-HR"/>
        </w:rPr>
        <w:t>Gradskog ureda za obrazovanje, sport i mlade</w:t>
      </w:r>
      <w:r w:rsidRPr="00580DEC">
        <w:rPr>
          <w:b/>
          <w:lang w:val="hr-HR"/>
        </w:rPr>
        <w:t xml:space="preserve"> </w:t>
      </w:r>
    </w:p>
    <w:p w:rsidR="00580DEC" w:rsidRPr="00580DEC" w:rsidRDefault="00580DEC" w:rsidP="00580DEC">
      <w:pPr>
        <w:numPr>
          <w:ilvl w:val="0"/>
          <w:numId w:val="3"/>
        </w:numPr>
        <w:spacing w:after="0"/>
        <w:rPr>
          <w:lang w:val="hr-HR"/>
        </w:rPr>
      </w:pPr>
      <w:r w:rsidRPr="00580DEC">
        <w:rPr>
          <w:lang w:val="hr-HR"/>
        </w:rPr>
        <w:t xml:space="preserve">Prihode za financiranje rashoda, koji se financiraju </w:t>
      </w:r>
      <w:r w:rsidR="00577D94">
        <w:rPr>
          <w:lang w:val="hr-HR"/>
        </w:rPr>
        <w:t>iz decentraliziranih izvora i pojačanog standarda</w:t>
      </w:r>
      <w:r w:rsidRPr="00580DEC">
        <w:rPr>
          <w:lang w:val="hr-HR"/>
        </w:rPr>
        <w:t>, planirali smo pr</w:t>
      </w:r>
      <w:r w:rsidR="00577D94">
        <w:rPr>
          <w:lang w:val="hr-HR"/>
        </w:rPr>
        <w:t>ema dobivenim limitima GUO-a za 202</w:t>
      </w:r>
      <w:r w:rsidR="003C69AF">
        <w:rPr>
          <w:lang w:val="hr-HR"/>
        </w:rPr>
        <w:t>6</w:t>
      </w:r>
      <w:r w:rsidR="00577D94">
        <w:rPr>
          <w:lang w:val="hr-HR"/>
        </w:rPr>
        <w:t>.-202</w:t>
      </w:r>
      <w:r w:rsidR="003C69AF">
        <w:rPr>
          <w:lang w:val="hr-HR"/>
        </w:rPr>
        <w:t>8</w:t>
      </w:r>
      <w:r w:rsidR="00577D94">
        <w:rPr>
          <w:lang w:val="hr-HR"/>
        </w:rPr>
        <w:t>.</w:t>
      </w:r>
      <w:r w:rsidRPr="00580DEC">
        <w:rPr>
          <w:lang w:val="hr-HR"/>
        </w:rPr>
        <w:t>;</w:t>
      </w:r>
    </w:p>
    <w:p w:rsidR="00580DEC" w:rsidRPr="00580DEC" w:rsidRDefault="00580DEC" w:rsidP="00580DEC">
      <w:pPr>
        <w:numPr>
          <w:ilvl w:val="0"/>
          <w:numId w:val="3"/>
        </w:numPr>
        <w:spacing w:after="0"/>
        <w:rPr>
          <w:lang w:val="hr-HR"/>
        </w:rPr>
      </w:pPr>
      <w:r w:rsidRPr="00580DEC">
        <w:rPr>
          <w:lang w:val="hr-HR"/>
        </w:rPr>
        <w:t>Od tako dobivenih vrijednosti prihoda prvo smo predvidjeli „fiksne rashode“ koji se planiraju na osnovi potrošnje tekuće godine, tj. troškove energije, prijevoza zaposlenika na posao  Na povećanje troškova prijevoza najviše utječ</w:t>
      </w:r>
      <w:r w:rsidR="00577D94">
        <w:rPr>
          <w:lang w:val="hr-HR"/>
        </w:rPr>
        <w:t>u</w:t>
      </w:r>
      <w:r w:rsidRPr="00580DEC">
        <w:rPr>
          <w:lang w:val="hr-HR"/>
        </w:rPr>
        <w:t xml:space="preserve"> zamjene za bolovanja te u 202</w:t>
      </w:r>
      <w:r w:rsidR="003C69AF">
        <w:rPr>
          <w:lang w:val="hr-HR"/>
        </w:rPr>
        <w:t>6</w:t>
      </w:r>
      <w:r w:rsidRPr="00580DEC">
        <w:rPr>
          <w:lang w:val="hr-HR"/>
        </w:rPr>
        <w:t xml:space="preserve">. i narednim godinama </w:t>
      </w:r>
      <w:r w:rsidR="00577D94">
        <w:rPr>
          <w:lang w:val="hr-HR"/>
        </w:rPr>
        <w:t>povećanje troškova prijevoza zbog energetske i inflacijske krize .</w:t>
      </w:r>
    </w:p>
    <w:p w:rsidR="00580DEC" w:rsidRPr="00580DEC" w:rsidRDefault="00580DEC" w:rsidP="00580DEC">
      <w:pPr>
        <w:numPr>
          <w:ilvl w:val="0"/>
          <w:numId w:val="3"/>
        </w:numPr>
        <w:spacing w:after="0"/>
        <w:rPr>
          <w:i/>
          <w:lang w:val="hr-HR"/>
        </w:rPr>
      </w:pPr>
      <w:r w:rsidRPr="00580DEC">
        <w:rPr>
          <w:lang w:val="hr-HR"/>
        </w:rPr>
        <w:t>Rashode za tekuće i investicijsko održavanje planirali smo u manjem iznosu, nego  što očekujemo ostvariti prema broju učenika, broju odjeljenja i za zgradu jer i nadalje planiramo sve radove, osim onih za koje je potrebno ovlaštenje, izvoditi sami i time što više sredstava uštedjeti za opće troškove</w:t>
      </w:r>
      <w:r w:rsidR="00577D94">
        <w:rPr>
          <w:lang w:val="hr-HR"/>
        </w:rPr>
        <w:t>.</w:t>
      </w:r>
    </w:p>
    <w:p w:rsidR="00580DEC" w:rsidRPr="00580DEC" w:rsidRDefault="00580DEC" w:rsidP="00580DEC">
      <w:pPr>
        <w:numPr>
          <w:ilvl w:val="0"/>
          <w:numId w:val="3"/>
        </w:numPr>
        <w:spacing w:after="0"/>
        <w:rPr>
          <w:lang w:val="hr-HR"/>
        </w:rPr>
      </w:pPr>
      <w:r w:rsidRPr="00580DEC">
        <w:rPr>
          <w:lang w:val="hr-HR"/>
        </w:rPr>
        <w:t>U rashodima iz kategorije općih  troškova prvo smo planirali „obvezne“  rashode za komunalne usluge (voda, odvoz smeća, deratizacija...),  rashode za telefon, platni promet te obveznu pedagošku dokumentaciju i materijal. Nakon toga planiramo ostale troškove prema prioritetima funkcioniranja škole;</w:t>
      </w:r>
    </w:p>
    <w:p w:rsidR="00580DEC" w:rsidRPr="00580DEC" w:rsidRDefault="00580DEC" w:rsidP="00580DEC">
      <w:pPr>
        <w:numPr>
          <w:ilvl w:val="0"/>
          <w:numId w:val="3"/>
        </w:numPr>
        <w:spacing w:after="0"/>
        <w:rPr>
          <w:i/>
          <w:lang w:val="hr-HR"/>
        </w:rPr>
      </w:pPr>
      <w:r w:rsidRPr="00580DEC">
        <w:rPr>
          <w:lang w:val="hr-HR"/>
        </w:rPr>
        <w:t>S obzirom na stalno rastući broj djece koja se upisuju u gimnazije, zbog uvođenja državne mature kao uvjeta  za upis na fakultet,  nadamo se i povećanju novaca za financiranje minimalnog standarda (od školske godine 20</w:t>
      </w:r>
      <w:r w:rsidR="00577D94">
        <w:rPr>
          <w:lang w:val="hr-HR"/>
        </w:rPr>
        <w:t>2</w:t>
      </w:r>
      <w:r w:rsidR="003C69AF">
        <w:rPr>
          <w:lang w:val="hr-HR"/>
        </w:rPr>
        <w:t>6</w:t>
      </w:r>
      <w:r w:rsidRPr="00580DEC">
        <w:rPr>
          <w:lang w:val="hr-HR"/>
        </w:rPr>
        <w:t>./20</w:t>
      </w:r>
      <w:r w:rsidR="00577D94">
        <w:rPr>
          <w:lang w:val="hr-HR"/>
        </w:rPr>
        <w:t>2</w:t>
      </w:r>
      <w:r w:rsidR="003C69AF">
        <w:rPr>
          <w:lang w:val="hr-HR"/>
        </w:rPr>
        <w:t>7</w:t>
      </w:r>
      <w:r w:rsidRPr="00580DEC">
        <w:rPr>
          <w:lang w:val="hr-HR"/>
        </w:rPr>
        <w:t xml:space="preserve">. planiramo imati preko </w:t>
      </w:r>
      <w:r w:rsidR="00577D94">
        <w:rPr>
          <w:lang w:val="hr-HR"/>
        </w:rPr>
        <w:t>10</w:t>
      </w:r>
      <w:r w:rsidR="003C69AF">
        <w:rPr>
          <w:lang w:val="hr-HR"/>
        </w:rPr>
        <w:t>5</w:t>
      </w:r>
      <w:r w:rsidR="00577D94">
        <w:rPr>
          <w:lang w:val="hr-HR"/>
        </w:rPr>
        <w:t>0</w:t>
      </w:r>
      <w:r w:rsidRPr="00580DEC">
        <w:rPr>
          <w:lang w:val="hr-HR"/>
        </w:rPr>
        <w:t xml:space="preserve"> učenika i </w:t>
      </w:r>
      <w:r w:rsidR="00577D94">
        <w:rPr>
          <w:lang w:val="hr-HR"/>
        </w:rPr>
        <w:t>4</w:t>
      </w:r>
      <w:r w:rsidRPr="00580DEC">
        <w:rPr>
          <w:lang w:val="hr-HR"/>
        </w:rPr>
        <w:t>2 učeničkih odjeljenja).</w:t>
      </w:r>
    </w:p>
    <w:p w:rsidR="00580DEC" w:rsidRPr="00580DEC" w:rsidRDefault="00580DEC" w:rsidP="00580DEC">
      <w:pPr>
        <w:numPr>
          <w:ilvl w:val="0"/>
          <w:numId w:val="3"/>
        </w:numPr>
        <w:spacing w:after="0"/>
        <w:rPr>
          <w:i/>
          <w:lang w:val="hr-HR"/>
        </w:rPr>
      </w:pPr>
      <w:r w:rsidRPr="00580DEC">
        <w:rPr>
          <w:lang w:val="hr-HR"/>
        </w:rPr>
        <w:t xml:space="preserve">Sredstva za organizaciju natjecanja su planirana na prihodovnoj </w:t>
      </w:r>
      <w:r w:rsidR="00CA3692">
        <w:rPr>
          <w:lang w:val="hr-HR"/>
        </w:rPr>
        <w:t>i</w:t>
      </w:r>
      <w:r w:rsidRPr="00580DEC">
        <w:rPr>
          <w:lang w:val="hr-HR"/>
        </w:rPr>
        <w:t xml:space="preserve"> na rashodovnoj strani, jer u trenutku izrade financijskog plana  znamo </w:t>
      </w:r>
      <w:r w:rsidR="00CA3692">
        <w:rPr>
          <w:lang w:val="hr-HR"/>
        </w:rPr>
        <w:t xml:space="preserve">da ćemo </w:t>
      </w:r>
      <w:r w:rsidRPr="00580DEC">
        <w:rPr>
          <w:lang w:val="hr-HR"/>
        </w:rPr>
        <w:t xml:space="preserve">biti domaćini </w:t>
      </w:r>
      <w:r w:rsidR="00AA7A82">
        <w:rPr>
          <w:lang w:val="hr-HR"/>
        </w:rPr>
        <w:t>županijske smotre LIDRANO,</w:t>
      </w:r>
      <w:r w:rsidRPr="00580DEC">
        <w:rPr>
          <w:lang w:val="hr-HR"/>
        </w:rPr>
        <w:t xml:space="preserve"> </w:t>
      </w:r>
      <w:r w:rsidR="00AA7A82">
        <w:rPr>
          <w:lang w:val="hr-HR"/>
        </w:rPr>
        <w:t>županijskog</w:t>
      </w:r>
      <w:r w:rsidRPr="00580DEC">
        <w:rPr>
          <w:lang w:val="hr-HR"/>
        </w:rPr>
        <w:t xml:space="preserve"> natjecanja </w:t>
      </w:r>
      <w:r w:rsidR="00AA7A82">
        <w:rPr>
          <w:lang w:val="hr-HR"/>
        </w:rPr>
        <w:t>iz kemije, WSC natjecanja iz kemije i kozmetičke njege te ćemo opet izdati školski list LABOS,  kojeg će također sufinancirati GUO;</w:t>
      </w:r>
    </w:p>
    <w:p w:rsidR="00580DEC" w:rsidRPr="00580DEC" w:rsidRDefault="00580DEC" w:rsidP="00580DEC">
      <w:pPr>
        <w:numPr>
          <w:ilvl w:val="0"/>
          <w:numId w:val="3"/>
        </w:numPr>
        <w:spacing w:after="0"/>
        <w:rPr>
          <w:i/>
          <w:lang w:val="hr-HR"/>
        </w:rPr>
      </w:pPr>
      <w:r w:rsidRPr="00580DEC">
        <w:rPr>
          <w:lang w:val="hr-HR"/>
        </w:rPr>
        <w:t>Plan</w:t>
      </w:r>
      <w:r w:rsidR="00AA7A82">
        <w:rPr>
          <w:lang w:val="hr-HR"/>
        </w:rPr>
        <w:t>irali smo prihode i rashode za pomoćnike u nastavi. Od školske godine 202</w:t>
      </w:r>
      <w:r w:rsidR="003C69AF">
        <w:rPr>
          <w:lang w:val="hr-HR"/>
        </w:rPr>
        <w:t>5</w:t>
      </w:r>
      <w:r w:rsidR="00AA7A82">
        <w:rPr>
          <w:lang w:val="hr-HR"/>
        </w:rPr>
        <w:t>./202</w:t>
      </w:r>
      <w:r w:rsidR="003C69AF">
        <w:rPr>
          <w:lang w:val="hr-HR"/>
        </w:rPr>
        <w:t>6</w:t>
      </w:r>
      <w:r w:rsidR="00AA7A82">
        <w:rPr>
          <w:lang w:val="hr-HR"/>
        </w:rPr>
        <w:t xml:space="preserve">. </w:t>
      </w:r>
      <w:r w:rsidR="00A017CF">
        <w:rPr>
          <w:lang w:val="hr-HR"/>
        </w:rPr>
        <w:t>i</w:t>
      </w:r>
      <w:r w:rsidR="00AA7A82">
        <w:rPr>
          <w:lang w:val="hr-HR"/>
        </w:rPr>
        <w:t xml:space="preserve">mamo </w:t>
      </w:r>
      <w:r w:rsidR="00A017CF">
        <w:rPr>
          <w:lang w:val="hr-HR"/>
        </w:rPr>
        <w:t>dvije pomo</w:t>
      </w:r>
      <w:r w:rsidR="00037330">
        <w:rPr>
          <w:lang w:val="hr-HR"/>
        </w:rPr>
        <w:t>ćnic</w:t>
      </w:r>
      <w:r w:rsidR="00A017CF">
        <w:rPr>
          <w:lang w:val="hr-HR"/>
        </w:rPr>
        <w:t>e</w:t>
      </w:r>
      <w:r w:rsidR="00037330">
        <w:rPr>
          <w:lang w:val="hr-HR"/>
        </w:rPr>
        <w:t>, koj</w:t>
      </w:r>
      <w:r w:rsidR="00A017CF">
        <w:rPr>
          <w:lang w:val="hr-HR"/>
        </w:rPr>
        <w:t>e</w:t>
      </w:r>
      <w:r w:rsidR="00037330">
        <w:rPr>
          <w:lang w:val="hr-HR"/>
        </w:rPr>
        <w:t xml:space="preserve"> ima</w:t>
      </w:r>
      <w:r w:rsidR="00A017CF">
        <w:rPr>
          <w:lang w:val="hr-HR"/>
        </w:rPr>
        <w:t>ju</w:t>
      </w:r>
      <w:r w:rsidR="00037330">
        <w:rPr>
          <w:lang w:val="hr-HR"/>
        </w:rPr>
        <w:t xml:space="preserve"> ugovor o radu pa su za njih</w:t>
      </w:r>
      <w:r w:rsidRPr="00580DEC">
        <w:rPr>
          <w:lang w:val="hr-HR"/>
        </w:rPr>
        <w:t xml:space="preserve"> osigurana sredstva. </w:t>
      </w:r>
    </w:p>
    <w:p w:rsidR="00580DEC" w:rsidRPr="00580DEC" w:rsidRDefault="00580DEC" w:rsidP="00580DEC">
      <w:pPr>
        <w:spacing w:after="0"/>
        <w:rPr>
          <w:i/>
          <w:lang w:val="hr-HR"/>
        </w:rPr>
      </w:pPr>
    </w:p>
    <w:p w:rsidR="00580DEC" w:rsidRPr="00580DEC" w:rsidRDefault="00580DEC" w:rsidP="00580DEC">
      <w:pPr>
        <w:spacing w:after="0"/>
        <w:rPr>
          <w:lang w:val="hr-HR"/>
        </w:rPr>
      </w:pPr>
      <w:r w:rsidRPr="00580DEC">
        <w:rPr>
          <w:b/>
          <w:lang w:val="hr-HR"/>
        </w:rPr>
        <w:t xml:space="preserve">Vlastite prihode </w:t>
      </w:r>
      <w:r w:rsidRPr="00580DEC">
        <w:rPr>
          <w:lang w:val="hr-HR"/>
        </w:rPr>
        <w:t>čine prihodi od iznajmljivanja prostora</w:t>
      </w:r>
      <w:r w:rsidR="00037330">
        <w:rPr>
          <w:lang w:val="hr-HR"/>
        </w:rPr>
        <w:t xml:space="preserve"> školske sportske dvorane, učionica</w:t>
      </w:r>
      <w:r w:rsidRPr="00580DEC">
        <w:rPr>
          <w:lang w:val="hr-HR"/>
        </w:rPr>
        <w:t xml:space="preserve">, </w:t>
      </w:r>
      <w:r w:rsidR="00037330">
        <w:rPr>
          <w:lang w:val="hr-HR"/>
        </w:rPr>
        <w:t>školske kantine</w:t>
      </w:r>
      <w:r w:rsidRPr="00580DEC">
        <w:rPr>
          <w:lang w:val="hr-HR"/>
        </w:rPr>
        <w:t>,</w:t>
      </w:r>
      <w:r w:rsidR="00037330">
        <w:rPr>
          <w:lang w:val="hr-HR"/>
        </w:rPr>
        <w:t xml:space="preserve"> i prostora za aparate za napitke . Prihodi će </w:t>
      </w:r>
      <w:r w:rsidRPr="00580DEC">
        <w:rPr>
          <w:lang w:val="hr-HR"/>
        </w:rPr>
        <w:t xml:space="preserve">se koristiti prvenstveno za osiguranje odvijanja  redovnog poslovanja, </w:t>
      </w:r>
      <w:r w:rsidR="00037330">
        <w:rPr>
          <w:lang w:val="hr-HR"/>
        </w:rPr>
        <w:t xml:space="preserve">jer se </w:t>
      </w:r>
      <w:r w:rsidRPr="00580DEC">
        <w:rPr>
          <w:lang w:val="hr-HR"/>
        </w:rPr>
        <w:t xml:space="preserve"> isto neće moći osigurati  minimalnim standardom, te za financiranje </w:t>
      </w:r>
      <w:r w:rsidR="00037330">
        <w:rPr>
          <w:lang w:val="hr-HR"/>
        </w:rPr>
        <w:t xml:space="preserve">opreme za </w:t>
      </w:r>
      <w:r w:rsidRPr="00580DEC">
        <w:rPr>
          <w:lang w:val="hr-HR"/>
        </w:rPr>
        <w:t xml:space="preserve">aktivnosti iz </w:t>
      </w:r>
      <w:r w:rsidR="00037330">
        <w:rPr>
          <w:lang w:val="hr-HR"/>
        </w:rPr>
        <w:t>p</w:t>
      </w:r>
      <w:r w:rsidRPr="00580DEC">
        <w:rPr>
          <w:lang w:val="hr-HR"/>
        </w:rPr>
        <w:t>rograma rada škole.</w:t>
      </w:r>
    </w:p>
    <w:p w:rsidR="00037330" w:rsidRDefault="00580DEC" w:rsidP="00580DEC">
      <w:pPr>
        <w:spacing w:after="0"/>
        <w:rPr>
          <w:lang w:val="hr-HR"/>
        </w:rPr>
      </w:pPr>
      <w:r w:rsidRPr="00580DEC">
        <w:rPr>
          <w:b/>
          <w:lang w:val="hr-HR"/>
        </w:rPr>
        <w:t>Namjenski prihodi od sufinanciranja</w:t>
      </w:r>
      <w:r w:rsidRPr="00580DEC">
        <w:rPr>
          <w:lang w:val="hr-HR"/>
        </w:rPr>
        <w:t xml:space="preserve"> obuhvaćaju prihode  </w:t>
      </w:r>
      <w:r w:rsidR="00037330" w:rsidRPr="00580DEC">
        <w:rPr>
          <w:lang w:val="hr-HR"/>
        </w:rPr>
        <w:t>sastoje se od prihoda od sufinanciranja</w:t>
      </w:r>
      <w:r w:rsidR="00037330">
        <w:rPr>
          <w:lang w:val="hr-HR"/>
        </w:rPr>
        <w:t>:</w:t>
      </w:r>
      <w:r w:rsidR="00037330" w:rsidRPr="00580DEC">
        <w:rPr>
          <w:lang w:val="hr-HR"/>
        </w:rPr>
        <w:t xml:space="preserve">  uplate roditelja za provedbu </w:t>
      </w:r>
      <w:r w:rsidR="00037330">
        <w:rPr>
          <w:lang w:val="hr-HR"/>
        </w:rPr>
        <w:t xml:space="preserve">dvojezičnog </w:t>
      </w:r>
      <w:r w:rsidR="00037330" w:rsidRPr="00580DEC">
        <w:rPr>
          <w:lang w:val="hr-HR"/>
        </w:rPr>
        <w:t>program</w:t>
      </w:r>
      <w:r w:rsidR="00037330">
        <w:rPr>
          <w:lang w:val="hr-HR"/>
        </w:rPr>
        <w:t>a prirodoslovne gimnazije</w:t>
      </w:r>
      <w:r w:rsidR="00037330" w:rsidRPr="00580DEC">
        <w:rPr>
          <w:lang w:val="hr-HR"/>
        </w:rPr>
        <w:t>,  prihod</w:t>
      </w:r>
      <w:r w:rsidR="00037330">
        <w:rPr>
          <w:lang w:val="hr-HR"/>
        </w:rPr>
        <w:t>i</w:t>
      </w:r>
      <w:r w:rsidR="00037330" w:rsidRPr="00580DEC">
        <w:rPr>
          <w:lang w:val="hr-HR"/>
        </w:rPr>
        <w:t xml:space="preserve"> </w:t>
      </w:r>
      <w:r w:rsidR="00037330">
        <w:rPr>
          <w:lang w:val="hr-HR"/>
        </w:rPr>
        <w:t xml:space="preserve">za </w:t>
      </w:r>
      <w:r w:rsidR="00037330">
        <w:rPr>
          <w:lang w:val="hr-HR"/>
        </w:rPr>
        <w:lastRenderedPageBreak/>
        <w:t>sufinanciranje izleta, uplate za osiguranje učenika, uplate za  stručne ispite, koji se održavaju u našoj školi, uplate za refundaciju šteta u laboratoriju</w:t>
      </w:r>
      <w:r w:rsidR="00037330" w:rsidRPr="00580DEC">
        <w:rPr>
          <w:lang w:val="hr-HR"/>
        </w:rPr>
        <w:t>;</w:t>
      </w:r>
    </w:p>
    <w:p w:rsidR="00580DEC" w:rsidRPr="00580DEC" w:rsidRDefault="00580DEC" w:rsidP="00580DEC">
      <w:pPr>
        <w:spacing w:after="0"/>
        <w:rPr>
          <w:lang w:val="hr-HR"/>
        </w:rPr>
      </w:pPr>
      <w:r w:rsidRPr="00580DEC">
        <w:rPr>
          <w:b/>
          <w:lang w:val="hr-HR"/>
        </w:rPr>
        <w:t>Sredstva donacije</w:t>
      </w:r>
      <w:r w:rsidRPr="00580DEC">
        <w:rPr>
          <w:lang w:val="hr-HR"/>
        </w:rPr>
        <w:t xml:space="preserve"> u iznosu </w:t>
      </w:r>
      <w:r w:rsidR="00736F04">
        <w:rPr>
          <w:lang w:val="hr-HR"/>
        </w:rPr>
        <w:t>11.000,00 EUR</w:t>
      </w:r>
      <w:r w:rsidRPr="00580DEC">
        <w:rPr>
          <w:lang w:val="hr-HR"/>
        </w:rPr>
        <w:t xml:space="preserve"> utrošit će se  isključivo za planirane namjene</w:t>
      </w:r>
      <w:r w:rsidR="00037330">
        <w:rPr>
          <w:lang w:val="hr-HR"/>
        </w:rPr>
        <w:t xml:space="preserve"> za </w:t>
      </w:r>
      <w:r w:rsidRPr="00580DEC">
        <w:rPr>
          <w:lang w:val="hr-HR"/>
        </w:rPr>
        <w:t xml:space="preserve"> nabavu materijala i opreme za povećanje učeničkog standarda.</w:t>
      </w:r>
    </w:p>
    <w:p w:rsidR="00FA5406" w:rsidRDefault="00FA5406" w:rsidP="00915A47">
      <w:pPr>
        <w:spacing w:after="0"/>
      </w:pPr>
    </w:p>
    <w:p w:rsidR="00FA5406" w:rsidRPr="0087312D" w:rsidRDefault="00E167BF" w:rsidP="00FA5406">
      <w:pPr>
        <w:pStyle w:val="Naslov1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</w:pPr>
      <w:r w:rsidRPr="00E167BF">
        <w:rPr>
          <w:rFonts w:asciiTheme="minorHAnsi" w:eastAsiaTheme="minorHAnsi" w:hAnsiTheme="minorHAnsi" w:cstheme="minorBidi"/>
          <w:bCs w:val="0"/>
          <w:sz w:val="22"/>
          <w:szCs w:val="22"/>
          <w:lang w:val="en-US" w:eastAsia="en-US"/>
        </w:rPr>
        <w:t>U OKVIRU PROGRAMA PROVODE SE SLJEDEĆE AKTIVNOSTI/PROJEKTI</w:t>
      </w:r>
      <w:r w:rsidR="00FA5406" w:rsidRPr="0087312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 xml:space="preserve">: </w:t>
      </w:r>
    </w:p>
    <w:p w:rsidR="00FA5406" w:rsidRPr="006F5F66" w:rsidRDefault="00FA5406" w:rsidP="00FA5406"/>
    <w:p w:rsidR="00FA5406" w:rsidRPr="006F5F66" w:rsidRDefault="00FA5406" w:rsidP="00FA5406">
      <w:pPr>
        <w:rPr>
          <w:b/>
          <w:bCs/>
        </w:rPr>
      </w:pPr>
      <w:r w:rsidRPr="006F5F66">
        <w:rPr>
          <w:b/>
          <w:bCs/>
        </w:rPr>
        <w:t xml:space="preserve">Aktivnost A024109 A 410901 REDOVNA DJELATNOST </w:t>
      </w:r>
    </w:p>
    <w:p w:rsidR="00FA5406" w:rsidRPr="006F5F66" w:rsidRDefault="00FA5406" w:rsidP="00FA5406">
      <w:pPr>
        <w:rPr>
          <w:b/>
          <w:bCs/>
        </w:rPr>
      </w:pPr>
    </w:p>
    <w:p w:rsidR="00FA5406" w:rsidRPr="006F5F66" w:rsidRDefault="00FA5406" w:rsidP="00FA5406">
      <w:pPr>
        <w:shd w:val="clear" w:color="auto" w:fill="FFFFFF"/>
        <w:jc w:val="both"/>
        <w:textAlignment w:val="top"/>
      </w:pPr>
      <w:r w:rsidRPr="006F5F66">
        <w:t>Na temelju odluke Vlade Republike Hrvatske o kriterijima i mjerilima za utvrđivanje bilančnih prava za financiranje minimalnoga financijskog standarda javnih potreba odgoja i srednjeg obrazovanja i učeničkih domova, u Proračunu Grada Zagreba za 202</w:t>
      </w:r>
      <w:r w:rsidR="003C69AF">
        <w:t>6</w:t>
      </w:r>
      <w:r w:rsidRPr="006F5F66">
        <w:t>. osiguravaju se sredstva za materijalne i financijske rashode, te rashodi za usluge tekućeg i investicijskog održavanja, kojima se osigurava minimalni financijski standard srednjih škola</w:t>
      </w:r>
      <w:r w:rsidR="0073162F">
        <w:t>.</w:t>
      </w:r>
    </w:p>
    <w:p w:rsidR="00FA5406" w:rsidRPr="006F5F66" w:rsidRDefault="00FA5406" w:rsidP="00FA5406"/>
    <w:p w:rsidR="00FA5406" w:rsidRPr="006F5F66" w:rsidRDefault="00FA5406" w:rsidP="00FA5406">
      <w:pPr>
        <w:jc w:val="both"/>
        <w:rPr>
          <w:b/>
          <w:bCs/>
        </w:rPr>
      </w:pPr>
      <w:r w:rsidRPr="008F723C">
        <w:rPr>
          <w:b/>
          <w:bCs/>
        </w:rPr>
        <w:t xml:space="preserve">Aktivnost </w:t>
      </w:r>
      <w:r w:rsidRPr="006F5F66">
        <w:rPr>
          <w:b/>
          <w:bCs/>
        </w:rPr>
        <w:t>A024109 A 4</w:t>
      </w:r>
      <w:r w:rsidRPr="008F723C">
        <w:rPr>
          <w:b/>
          <w:bCs/>
        </w:rPr>
        <w:t>1090</w:t>
      </w:r>
      <w:r w:rsidRPr="006F5F66">
        <w:rPr>
          <w:b/>
          <w:bCs/>
        </w:rPr>
        <w:t>2</w:t>
      </w:r>
      <w:r w:rsidRPr="008F723C">
        <w:rPr>
          <w:b/>
          <w:bCs/>
        </w:rPr>
        <w:t>. IZVANNASTAVNE I OSTALE AKTIVNOSTI</w:t>
      </w:r>
    </w:p>
    <w:p w:rsidR="00FA5406" w:rsidRDefault="00FA5406" w:rsidP="00FA5406">
      <w:pPr>
        <w:shd w:val="clear" w:color="auto" w:fill="FFFFFF"/>
        <w:jc w:val="both"/>
        <w:textAlignment w:val="top"/>
      </w:pPr>
      <w:r w:rsidRPr="006F5F66">
        <w:t>Radi unapređenja kvalitete života i slobodnog vremena mladih te prevencije mogućeg društveno neprihvatljivog ponašanja, proračunom se osiguravaju sredstva za financiranje programa niza izvannastavnih i izvanškolskih aktivnosti, projekata organiziranog provođenja slobodnog vremena mladih i drugo. Jedan od oblika izvannastavnih aktivnosti, kao sastavnog dijela redovitoga školskog sustava tijekom školske godine, jesu natjecanja učenika i smotre učeničkog stvaralaštva organizirane na školskoj, regionalnoj i državnoj razini, u skladu s programom Ministarstva znanosti i obrazovanja, Agencije za odgoj i obrazovanje te Agencije za strukovno obrazovanje i obrazovanje odraslih. Program natjecanja i smotri učenika srednjih škola Grada Zagreba donosi i provodi Gradski ured za obrazovanje. U cilju motiviranja učenika za stjecanje dodatnih znanja te poticanja izvrsnosti učenika i njihovih mentora dodijeljuje se i Nagrada Professor Balthazar školama, učenicima i nastavnicima - mentorima koji su osvojili prvo, drugo ili treće mjesto na državnim natjecanjima i smotrama koja su utvrđena u Katalogu natjecanja i smotri učenika i učenica osnovnih i srednjih škola Republike Hrvatske.</w:t>
      </w:r>
    </w:p>
    <w:p w:rsidR="008B4C29" w:rsidRPr="00806370" w:rsidRDefault="00E167BF" w:rsidP="00FA5406">
      <w:pPr>
        <w:shd w:val="clear" w:color="auto" w:fill="FFFFFF"/>
        <w:jc w:val="both"/>
        <w:textAlignment w:val="top"/>
        <w:rPr>
          <w:rFonts w:cstheme="minorHAnsi"/>
          <w:lang w:val="hr-HR"/>
        </w:rPr>
      </w:pPr>
      <w:bookmarkStart w:id="0" w:name="_Hlk158883996"/>
      <w:r>
        <w:rPr>
          <w:lang w:val="hr-HR"/>
        </w:rPr>
        <w:t xml:space="preserve">U trenutku pisanja ovog obrazloženja </w:t>
      </w:r>
      <w:r w:rsidRPr="00580DEC">
        <w:rPr>
          <w:lang w:val="hr-HR"/>
        </w:rPr>
        <w:t xml:space="preserve">znamo </w:t>
      </w:r>
      <w:r>
        <w:rPr>
          <w:lang w:val="hr-HR"/>
        </w:rPr>
        <w:t xml:space="preserve">da ćemo </w:t>
      </w:r>
      <w:r w:rsidRPr="00580DEC">
        <w:rPr>
          <w:lang w:val="hr-HR"/>
        </w:rPr>
        <w:t xml:space="preserve">biti domaćini </w:t>
      </w:r>
      <w:r>
        <w:rPr>
          <w:lang w:val="hr-HR"/>
        </w:rPr>
        <w:t>županijske smotre LIDRANO,</w:t>
      </w:r>
      <w:r w:rsidRPr="00580DEC">
        <w:rPr>
          <w:lang w:val="hr-HR"/>
        </w:rPr>
        <w:t xml:space="preserve"> </w:t>
      </w:r>
      <w:r>
        <w:rPr>
          <w:lang w:val="hr-HR"/>
        </w:rPr>
        <w:t>županijskog</w:t>
      </w:r>
      <w:r w:rsidRPr="00580DEC">
        <w:rPr>
          <w:lang w:val="hr-HR"/>
        </w:rPr>
        <w:t xml:space="preserve"> natjecanja </w:t>
      </w:r>
      <w:r>
        <w:rPr>
          <w:lang w:val="hr-HR"/>
        </w:rPr>
        <w:t xml:space="preserve">iz kemije, WSC natjecanja iz kemije i kozmetičke njege te ćemo opet izdati školski list LABOS. </w:t>
      </w:r>
      <w:bookmarkEnd w:id="0"/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27"/>
        <w:gridCol w:w="1313"/>
        <w:gridCol w:w="995"/>
        <w:gridCol w:w="1099"/>
        <w:gridCol w:w="1096"/>
        <w:gridCol w:w="1101"/>
        <w:gridCol w:w="1099"/>
      </w:tblGrid>
      <w:tr w:rsidR="00FA5406" w:rsidRPr="00C86062" w:rsidTr="0062253D">
        <w:trPr>
          <w:jc w:val="center"/>
        </w:trPr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1313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Definicija pokazatelja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Jedinica mjere</w:t>
            </w: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Polazna vrijednost (202</w:t>
            </w:r>
            <w:r w:rsidR="00F72242">
              <w:rPr>
                <w:b/>
                <w:bCs/>
                <w:sz w:val="18"/>
                <w:szCs w:val="18"/>
              </w:rPr>
              <w:t>4</w:t>
            </w:r>
            <w:r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Ciljana vrijednost (202</w:t>
            </w:r>
            <w:r w:rsidR="00F72242">
              <w:rPr>
                <w:b/>
                <w:bCs/>
                <w:sz w:val="18"/>
                <w:szCs w:val="18"/>
              </w:rPr>
              <w:t>5</w:t>
            </w:r>
            <w:r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Ciljana vrijednost (202</w:t>
            </w:r>
            <w:r w:rsidR="00F72242">
              <w:rPr>
                <w:b/>
                <w:bCs/>
                <w:sz w:val="18"/>
                <w:szCs w:val="18"/>
              </w:rPr>
              <w:t>6</w:t>
            </w:r>
            <w:r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Ciljana vrijednost (202</w:t>
            </w:r>
            <w:r w:rsidR="00F72242">
              <w:rPr>
                <w:b/>
                <w:bCs/>
                <w:sz w:val="18"/>
                <w:szCs w:val="18"/>
              </w:rPr>
              <w:t>7</w:t>
            </w:r>
            <w:r w:rsidRPr="00C86062">
              <w:rPr>
                <w:b/>
                <w:bCs/>
                <w:sz w:val="18"/>
                <w:szCs w:val="18"/>
              </w:rPr>
              <w:t>.)</w:t>
            </w:r>
          </w:p>
        </w:tc>
      </w:tr>
      <w:tr w:rsidR="00FA5406" w:rsidRPr="00C86062" w:rsidTr="0062253D">
        <w:trPr>
          <w:trHeight w:val="420"/>
          <w:jc w:val="center"/>
        </w:trPr>
        <w:tc>
          <w:tcPr>
            <w:tcW w:w="1727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Program natjecanja</w:t>
            </w:r>
          </w:p>
        </w:tc>
        <w:tc>
          <w:tcPr>
            <w:tcW w:w="1313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5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učenika</w:t>
            </w:r>
          </w:p>
        </w:tc>
        <w:tc>
          <w:tcPr>
            <w:tcW w:w="1099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096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01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FA5406" w:rsidRPr="00C86062" w:rsidTr="0062253D">
        <w:trPr>
          <w:trHeight w:val="534"/>
          <w:jc w:val="center"/>
        </w:trPr>
        <w:tc>
          <w:tcPr>
            <w:tcW w:w="1727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Ukupan iznos sredstava potreban za provođenje izvannastavnih aktivnosti</w:t>
            </w:r>
          </w:p>
        </w:tc>
        <w:tc>
          <w:tcPr>
            <w:tcW w:w="1313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Potrebna sredstva za financiranje iz proračuna Grada Zagreba</w:t>
            </w:r>
          </w:p>
        </w:tc>
        <w:tc>
          <w:tcPr>
            <w:tcW w:w="995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Iznos u kn</w:t>
            </w:r>
          </w:p>
        </w:tc>
        <w:tc>
          <w:tcPr>
            <w:tcW w:w="1099" w:type="dxa"/>
          </w:tcPr>
          <w:p w:rsidR="00FA5406" w:rsidRPr="00C86062" w:rsidRDefault="00F72242" w:rsidP="0062253D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</w:t>
            </w:r>
            <w:r w:rsidR="006307CA">
              <w:rPr>
                <w:bCs/>
                <w:sz w:val="18"/>
                <w:szCs w:val="18"/>
              </w:rPr>
              <w:t>0</w:t>
            </w:r>
            <w:r w:rsidR="000F1B7B">
              <w:rPr>
                <w:bCs/>
                <w:sz w:val="18"/>
                <w:szCs w:val="18"/>
              </w:rPr>
              <w:t>00</w:t>
            </w:r>
            <w:r w:rsidR="00C113C6">
              <w:rPr>
                <w:bCs/>
                <w:sz w:val="18"/>
                <w:szCs w:val="18"/>
              </w:rPr>
              <w:t xml:space="preserve"> EUR</w:t>
            </w:r>
          </w:p>
        </w:tc>
        <w:tc>
          <w:tcPr>
            <w:tcW w:w="1096" w:type="dxa"/>
          </w:tcPr>
          <w:p w:rsidR="00FA5406" w:rsidRPr="00C86062" w:rsidRDefault="00F72242" w:rsidP="0062253D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="000F1B7B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3</w:t>
            </w:r>
            <w:r w:rsidR="000F1B7B">
              <w:rPr>
                <w:bCs/>
                <w:sz w:val="18"/>
                <w:szCs w:val="18"/>
              </w:rPr>
              <w:t>00</w:t>
            </w:r>
            <w:r w:rsidR="00C113C6">
              <w:rPr>
                <w:bCs/>
                <w:sz w:val="18"/>
                <w:szCs w:val="18"/>
              </w:rPr>
              <w:t xml:space="preserve"> EUR</w:t>
            </w:r>
          </w:p>
        </w:tc>
        <w:tc>
          <w:tcPr>
            <w:tcW w:w="1101" w:type="dxa"/>
          </w:tcPr>
          <w:p w:rsidR="00FA5406" w:rsidRPr="00C86062" w:rsidRDefault="00F72242" w:rsidP="0062253D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="0017256E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2</w:t>
            </w:r>
            <w:r w:rsidR="0017256E">
              <w:rPr>
                <w:bCs/>
                <w:sz w:val="18"/>
                <w:szCs w:val="18"/>
              </w:rPr>
              <w:t>00</w:t>
            </w:r>
            <w:r w:rsidR="00C113C6">
              <w:rPr>
                <w:bCs/>
                <w:sz w:val="18"/>
                <w:szCs w:val="18"/>
              </w:rPr>
              <w:t>EUR</w:t>
            </w:r>
          </w:p>
        </w:tc>
        <w:tc>
          <w:tcPr>
            <w:tcW w:w="1099" w:type="dxa"/>
          </w:tcPr>
          <w:p w:rsidR="00FA5406" w:rsidRPr="00C86062" w:rsidRDefault="00F72242" w:rsidP="0062253D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6.2</w:t>
            </w:r>
            <w:r w:rsidR="00C113C6">
              <w:rPr>
                <w:bCs/>
                <w:sz w:val="18"/>
                <w:szCs w:val="18"/>
              </w:rPr>
              <w:t>00 EUR</w:t>
            </w:r>
          </w:p>
        </w:tc>
      </w:tr>
    </w:tbl>
    <w:p w:rsidR="00DB617C" w:rsidRDefault="00DB617C" w:rsidP="00FA5406">
      <w:pPr>
        <w:jc w:val="both"/>
        <w:rPr>
          <w:b/>
          <w:bCs/>
        </w:rPr>
      </w:pPr>
    </w:p>
    <w:p w:rsidR="008B4C29" w:rsidRDefault="008B4C29" w:rsidP="008B4C29">
      <w:pPr>
        <w:shd w:val="clear" w:color="auto" w:fill="FFFFFF"/>
        <w:jc w:val="both"/>
        <w:textAlignment w:val="top"/>
        <w:rPr>
          <w:rFonts w:cstheme="minorHAnsi"/>
          <w:color w:val="000000"/>
          <w:sz w:val="21"/>
          <w:szCs w:val="21"/>
          <w:shd w:val="clear" w:color="auto" w:fill="FFFFFF"/>
        </w:rPr>
      </w:pPr>
      <w:r>
        <w:rPr>
          <w:lang w:val="hr-HR"/>
        </w:rPr>
        <w:lastRenderedPageBreak/>
        <w:t xml:space="preserve">Također je hvalevrijedno spomenuti da je </w:t>
      </w:r>
      <w:r w:rsidR="001D4561">
        <w:rPr>
          <w:lang w:val="hr-HR"/>
        </w:rPr>
        <w:t>u</w:t>
      </w:r>
      <w:r>
        <w:rPr>
          <w:lang w:val="hr-HR"/>
        </w:rPr>
        <w:t xml:space="preserve"> siječnj</w:t>
      </w:r>
      <w:r w:rsidR="001D4561">
        <w:rPr>
          <w:lang w:val="hr-HR"/>
        </w:rPr>
        <w:t>u</w:t>
      </w:r>
      <w:r>
        <w:rPr>
          <w:lang w:val="hr-HR"/>
        </w:rPr>
        <w:t xml:space="preserve"> 2023. Prirodoslovnoj školi Vladimira Preloga dodijeljena Erasmus akreditacija u području strukovnog i gimnazijskog obrazovanja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 pa je u školskoj godini 202</w:t>
      </w:r>
      <w:r w:rsidR="003C69AF">
        <w:rPr>
          <w:rFonts w:cstheme="minorHAnsi"/>
          <w:color w:val="000000"/>
          <w:sz w:val="21"/>
          <w:szCs w:val="21"/>
          <w:shd w:val="clear" w:color="auto" w:fill="FFFFFF"/>
        </w:rPr>
        <w:t>4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>./202</w:t>
      </w:r>
      <w:r w:rsidR="003C69AF">
        <w:rPr>
          <w:rFonts w:cstheme="minorHAnsi"/>
          <w:color w:val="000000"/>
          <w:sz w:val="21"/>
          <w:szCs w:val="21"/>
          <w:shd w:val="clear" w:color="auto" w:fill="FFFFFF"/>
        </w:rPr>
        <w:t>5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. bila organizirana mobilnost naših učenika i nastavnika   u </w:t>
      </w:r>
      <w:r w:rsidR="003C69AF">
        <w:rPr>
          <w:rFonts w:cstheme="minorHAnsi"/>
          <w:color w:val="000000"/>
          <w:sz w:val="21"/>
          <w:szCs w:val="21"/>
          <w:shd w:val="clear" w:color="auto" w:fill="FFFFFF"/>
        </w:rPr>
        <w:t xml:space="preserve">Malagu u 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>Španjolsk</w:t>
      </w:r>
      <w:r w:rsidR="003C69AF">
        <w:rPr>
          <w:rFonts w:cstheme="minorHAnsi"/>
          <w:color w:val="000000"/>
          <w:sz w:val="21"/>
          <w:szCs w:val="21"/>
          <w:shd w:val="clear" w:color="auto" w:fill="FFFFFF"/>
        </w:rPr>
        <w:t xml:space="preserve">oj, u Napulj u Italiji </w:t>
      </w:r>
      <w:proofErr w:type="gramStart"/>
      <w:r w:rsidR="00DD310A">
        <w:rPr>
          <w:rFonts w:cstheme="minorHAnsi"/>
          <w:color w:val="000000"/>
          <w:sz w:val="21"/>
          <w:szCs w:val="21"/>
          <w:shd w:val="clear" w:color="auto" w:fill="FFFFFF"/>
        </w:rPr>
        <w:t>i</w:t>
      </w:r>
      <w:r w:rsidR="003C69AF">
        <w:rPr>
          <w:rFonts w:cstheme="minorHAnsi"/>
          <w:color w:val="000000"/>
          <w:sz w:val="21"/>
          <w:szCs w:val="21"/>
          <w:shd w:val="clear" w:color="auto" w:fill="FFFFFF"/>
        </w:rPr>
        <w:t xml:space="preserve">  u</w:t>
      </w:r>
      <w:proofErr w:type="gramEnd"/>
      <w:r w:rsidR="003C69AF">
        <w:rPr>
          <w:rFonts w:cstheme="minorHAnsi"/>
          <w:color w:val="000000"/>
          <w:sz w:val="21"/>
          <w:szCs w:val="21"/>
          <w:shd w:val="clear" w:color="auto" w:fill="FFFFFF"/>
        </w:rPr>
        <w:t xml:space="preserve"> Bruxelles u Belgiji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. </w:t>
      </w:r>
      <w:proofErr w:type="gramStart"/>
      <w:r>
        <w:rPr>
          <w:rFonts w:cstheme="minorHAnsi"/>
          <w:color w:val="000000"/>
          <w:sz w:val="21"/>
          <w:szCs w:val="21"/>
          <w:shd w:val="clear" w:color="auto" w:fill="FFFFFF"/>
        </w:rPr>
        <w:t>Također,</w:t>
      </w:r>
      <w:r w:rsidR="001D4561">
        <w:rPr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 n</w:t>
      </w:r>
      <w:r w:rsidRPr="00DA722E">
        <w:rPr>
          <w:rFonts w:cstheme="minorHAnsi"/>
          <w:color w:val="000000"/>
          <w:sz w:val="21"/>
          <w:szCs w:val="21"/>
          <w:shd w:val="clear" w:color="auto" w:fill="FFFFFF"/>
        </w:rPr>
        <w:t>aša</w:t>
      </w:r>
      <w:proofErr w:type="gramEnd"/>
      <w:r w:rsidRPr="00DA722E">
        <w:rPr>
          <w:rFonts w:cstheme="minorHAnsi"/>
          <w:color w:val="000000"/>
          <w:sz w:val="21"/>
          <w:szCs w:val="21"/>
          <w:shd w:val="clear" w:color="auto" w:fill="FFFFFF"/>
        </w:rPr>
        <w:t xml:space="preserve"> škola je u</w:t>
      </w:r>
      <w:r w:rsidR="003C69AF">
        <w:rPr>
          <w:rFonts w:cstheme="minorHAnsi"/>
          <w:color w:val="000000"/>
          <w:sz w:val="21"/>
          <w:szCs w:val="21"/>
          <w:shd w:val="clear" w:color="auto" w:fill="FFFFFF"/>
        </w:rPr>
        <w:t xml:space="preserve"> svibnju 2025</w:t>
      </w:r>
      <w:r w:rsidR="00DD310A">
        <w:rPr>
          <w:rFonts w:cstheme="minorHAnsi"/>
          <w:color w:val="000000"/>
          <w:sz w:val="21"/>
          <w:szCs w:val="21"/>
          <w:shd w:val="clear" w:color="auto" w:fill="FFFFFF"/>
        </w:rPr>
        <w:t>.</w:t>
      </w:r>
      <w:r w:rsidRPr="00DA722E">
        <w:rPr>
          <w:rFonts w:cstheme="minorHAnsi"/>
          <w:color w:val="000000"/>
          <w:sz w:val="21"/>
          <w:szCs w:val="21"/>
          <w:shd w:val="clear" w:color="auto" w:fill="FFFFFF"/>
        </w:rPr>
        <w:t xml:space="preserve"> ugostila grupu učenika i nastavnik</w:t>
      </w:r>
      <w:r w:rsidR="003C69AF">
        <w:rPr>
          <w:rFonts w:cstheme="minorHAnsi"/>
          <w:color w:val="000000"/>
          <w:sz w:val="21"/>
          <w:szCs w:val="21"/>
          <w:shd w:val="clear" w:color="auto" w:fill="FFFFFF"/>
        </w:rPr>
        <w:t xml:space="preserve">a iz Portugala, a </w:t>
      </w:r>
      <w:r w:rsidR="005D4A5E">
        <w:rPr>
          <w:rFonts w:cstheme="minorHAnsi"/>
          <w:color w:val="000000"/>
          <w:sz w:val="21"/>
          <w:szCs w:val="21"/>
          <w:shd w:val="clear" w:color="auto" w:fill="FFFFFF"/>
        </w:rPr>
        <w:t xml:space="preserve">naši su se nastavnici usavršavali na raznim tečajevima u sklopu Erasmus + projekata diljem Europe. </w:t>
      </w:r>
    </w:p>
    <w:p w:rsidR="008B4C29" w:rsidRDefault="008B4C29" w:rsidP="00FA5406">
      <w:pPr>
        <w:jc w:val="both"/>
        <w:rPr>
          <w:b/>
          <w:bCs/>
        </w:rPr>
      </w:pPr>
    </w:p>
    <w:p w:rsidR="00FA5406" w:rsidRPr="006F5F66" w:rsidRDefault="00FA5406" w:rsidP="00FA5406">
      <w:pPr>
        <w:jc w:val="both"/>
        <w:rPr>
          <w:b/>
          <w:bCs/>
        </w:rPr>
      </w:pPr>
      <w:proofErr w:type="gramStart"/>
      <w:r w:rsidRPr="006F5F66">
        <w:rPr>
          <w:b/>
          <w:bCs/>
        </w:rPr>
        <w:t>Aktivnost  A</w:t>
      </w:r>
      <w:proofErr w:type="gramEnd"/>
      <w:r w:rsidRPr="006F5F66">
        <w:rPr>
          <w:b/>
          <w:bCs/>
        </w:rPr>
        <w:t>02 4109 A 410903 POMOĆNICI U NASTAVI</w:t>
      </w:r>
    </w:p>
    <w:p w:rsidR="00997411" w:rsidRPr="001754D3" w:rsidRDefault="00FA5406" w:rsidP="001754D3">
      <w:pPr>
        <w:pStyle w:val="Naslov3"/>
        <w:shd w:val="clear" w:color="auto" w:fill="F9FAFC"/>
        <w:spacing w:before="360" w:after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54D3">
        <w:rPr>
          <w:rFonts w:asciiTheme="minorHAnsi" w:hAnsiTheme="minorHAnsi" w:cstheme="minorHAnsi"/>
          <w:color w:val="auto"/>
          <w:sz w:val="22"/>
          <w:szCs w:val="22"/>
        </w:rPr>
        <w:t>Sukladno članku 99. Zakona o odgoju i obrazovanju u osnovnoj i srednjoj školi, Državnom pedagoškom standardu srednjoškolskog sustava odgoja i obrazovanja (</w:t>
      </w:r>
      <w:r w:rsidR="001754D3" w:rsidRPr="001754D3">
        <w:rPr>
          <w:rFonts w:asciiTheme="minorHAnsi" w:hAnsiTheme="minorHAnsi" w:cstheme="minorHAnsi"/>
          <w:color w:val="auto"/>
          <w:sz w:val="22"/>
          <w:szCs w:val="22"/>
        </w:rPr>
        <w:t>Narodne novine«, broj 87/08, 86/09, 92/10, 105/10, 90/11, 5/12, 16/12, 86/12, 126/12, 94/13, 152/14, 07/17, 68/18, 98/19, 64/20, 151/22 i 156/23</w:t>
      </w:r>
      <w:r w:rsidRPr="001754D3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754D3">
        <w:rPr>
          <w:rFonts w:asciiTheme="minorHAnsi" w:hAnsiTheme="minorHAnsi" w:cstheme="minorHAnsi"/>
          <w:color w:val="auto"/>
          <w:sz w:val="22"/>
          <w:szCs w:val="22"/>
        </w:rPr>
        <w:t xml:space="preserve"> I novom</w:t>
      </w:r>
      <w:r w:rsidRPr="001754D3">
        <w:rPr>
          <w:rFonts w:asciiTheme="minorHAnsi" w:hAnsiTheme="minorHAnsi" w:cstheme="minorHAnsi"/>
          <w:color w:val="auto"/>
          <w:sz w:val="22"/>
          <w:szCs w:val="22"/>
        </w:rPr>
        <w:t xml:space="preserve"> Pravilniku o pomoćnicima u nastavi i stručnim komunikacijskim posrednicima (Narodne novine </w:t>
      </w:r>
      <w:r w:rsidR="001754D3">
        <w:rPr>
          <w:rFonts w:asciiTheme="minorHAnsi" w:hAnsiTheme="minorHAnsi" w:cstheme="minorHAnsi"/>
          <w:color w:val="auto"/>
          <w:sz w:val="22"/>
          <w:szCs w:val="22"/>
        </w:rPr>
        <w:t>85/2024</w:t>
      </w:r>
      <w:r w:rsidRPr="001754D3">
        <w:rPr>
          <w:rFonts w:asciiTheme="minorHAnsi" w:hAnsiTheme="minorHAnsi" w:cstheme="minorHAnsi"/>
          <w:color w:val="auto"/>
          <w:sz w:val="22"/>
          <w:szCs w:val="22"/>
        </w:rPr>
        <w:t>) te Zagrebačkoj strategiji izjednačavanja mogućnosti osoba s invaliditetom u razdoblju od 20</w:t>
      </w:r>
      <w:r w:rsidR="001754D3">
        <w:rPr>
          <w:rFonts w:asciiTheme="minorHAnsi" w:hAnsiTheme="minorHAnsi" w:cstheme="minorHAnsi"/>
          <w:color w:val="auto"/>
          <w:sz w:val="22"/>
          <w:szCs w:val="22"/>
        </w:rPr>
        <w:t>22</w:t>
      </w:r>
      <w:r w:rsidRPr="001754D3">
        <w:rPr>
          <w:rFonts w:asciiTheme="minorHAnsi" w:hAnsiTheme="minorHAnsi" w:cstheme="minorHAnsi"/>
          <w:color w:val="auto"/>
          <w:sz w:val="22"/>
          <w:szCs w:val="22"/>
        </w:rPr>
        <w:t>. do 202</w:t>
      </w:r>
      <w:r w:rsidR="001754D3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1754D3">
        <w:rPr>
          <w:rFonts w:asciiTheme="minorHAnsi" w:hAnsiTheme="minorHAnsi" w:cstheme="minorHAnsi"/>
          <w:color w:val="auto"/>
          <w:sz w:val="22"/>
          <w:szCs w:val="22"/>
        </w:rPr>
        <w:t xml:space="preserve">., u rad škola uključuju se pomoćnici u nastavi/stručni komunikacijski posrednici radi uspostave jednako kvalitetnih uvjeta obrazovanja za sve učenike sukladno njihovim sposobnostima i programu koji samostalno svladavaju u primarnoj sredini. </w:t>
      </w:r>
      <w:r w:rsidR="001754D3">
        <w:rPr>
          <w:rFonts w:asciiTheme="minorHAnsi" w:hAnsiTheme="minorHAnsi" w:cstheme="minorHAnsi"/>
          <w:color w:val="auto"/>
          <w:sz w:val="22"/>
          <w:szCs w:val="22"/>
        </w:rPr>
        <w:t xml:space="preserve">Sukladno novom </w:t>
      </w:r>
      <w:r w:rsidR="00997411" w:rsidRPr="001754D3">
        <w:rPr>
          <w:rFonts w:asciiTheme="minorHAnsi" w:hAnsiTheme="minorHAnsi" w:cstheme="minorHAnsi"/>
          <w:color w:val="auto"/>
          <w:sz w:val="22"/>
          <w:szCs w:val="22"/>
        </w:rPr>
        <w:t>Pravilnik</w:t>
      </w:r>
      <w:r w:rsidR="001754D3">
        <w:rPr>
          <w:rFonts w:asciiTheme="minorHAnsi" w:hAnsiTheme="minorHAnsi" w:cstheme="minorHAnsi"/>
          <w:color w:val="auto"/>
          <w:sz w:val="22"/>
          <w:szCs w:val="22"/>
        </w:rPr>
        <w:t>u o pomoćnicima u nastavi, koji je bio</w:t>
      </w:r>
      <w:r w:rsidR="00997411" w:rsidRPr="001754D3">
        <w:rPr>
          <w:rFonts w:asciiTheme="minorHAnsi" w:hAnsiTheme="minorHAnsi" w:cstheme="minorHAnsi"/>
          <w:color w:val="auto"/>
          <w:sz w:val="22"/>
          <w:szCs w:val="22"/>
        </w:rPr>
        <w:t xml:space="preserve"> objavljen </w:t>
      </w:r>
      <w:r w:rsidR="001754D3">
        <w:rPr>
          <w:rFonts w:asciiTheme="minorHAnsi" w:hAnsiTheme="minorHAnsi" w:cstheme="minorHAnsi"/>
          <w:color w:val="auto"/>
          <w:sz w:val="22"/>
          <w:szCs w:val="22"/>
        </w:rPr>
        <w:t>19.07.2024.</w:t>
      </w:r>
      <w:r w:rsidR="00997411" w:rsidRPr="001754D3">
        <w:rPr>
          <w:rFonts w:asciiTheme="minorHAnsi" w:hAnsiTheme="minorHAnsi" w:cstheme="minorHAnsi"/>
          <w:color w:val="auto"/>
          <w:sz w:val="22"/>
          <w:szCs w:val="22"/>
        </w:rPr>
        <w:t>u Narodnim novinama</w:t>
      </w:r>
      <w:r w:rsidR="001754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997411" w:rsidRPr="001754D3">
        <w:rPr>
          <w:rFonts w:asciiTheme="minorHAnsi" w:hAnsiTheme="minorHAnsi" w:cstheme="minorHAnsi"/>
          <w:color w:val="auto"/>
          <w:sz w:val="22"/>
          <w:szCs w:val="22"/>
        </w:rPr>
        <w:t xml:space="preserve"> pomoćnici u nastavi od sada će imati minimalnu satnicu u iznosu od 7,5 eura bruto i ugovori će im trajati cijelu školsku godinu, odnosno neće više ostajati bez posla tijekom ljeta kada bi im ugovori završili s krajem nastave.  Uz to novim Pravilnikom od sada imaju pravo i obavezu na edukaciju i usavršavanje.</w:t>
      </w:r>
    </w:p>
    <w:p w:rsidR="00C113C6" w:rsidRPr="00580DEC" w:rsidRDefault="00C113C6" w:rsidP="00F22380">
      <w:pPr>
        <w:spacing w:after="0"/>
        <w:jc w:val="both"/>
        <w:rPr>
          <w:i/>
          <w:lang w:val="hr-HR"/>
        </w:rPr>
      </w:pPr>
      <w:r>
        <w:rPr>
          <w:lang w:val="hr-HR"/>
        </w:rPr>
        <w:t>Od školske godine 202</w:t>
      </w:r>
      <w:r w:rsidR="005D4A5E">
        <w:rPr>
          <w:lang w:val="hr-HR"/>
        </w:rPr>
        <w:t>5</w:t>
      </w:r>
      <w:r>
        <w:rPr>
          <w:lang w:val="hr-HR"/>
        </w:rPr>
        <w:t>./202</w:t>
      </w:r>
      <w:r w:rsidR="005D4A5E">
        <w:rPr>
          <w:lang w:val="hr-HR"/>
        </w:rPr>
        <w:t>6</w:t>
      </w:r>
      <w:r>
        <w:rPr>
          <w:lang w:val="hr-HR"/>
        </w:rPr>
        <w:t xml:space="preserve">. Prirodoslovna škola Vladimira Preloga ima </w:t>
      </w:r>
      <w:r w:rsidR="001754D3">
        <w:rPr>
          <w:lang w:val="hr-HR"/>
        </w:rPr>
        <w:t>dvije</w:t>
      </w:r>
      <w:r>
        <w:rPr>
          <w:lang w:val="hr-HR"/>
        </w:rPr>
        <w:t xml:space="preserve"> pomoćnic</w:t>
      </w:r>
      <w:r w:rsidR="001754D3">
        <w:rPr>
          <w:lang w:val="hr-HR"/>
        </w:rPr>
        <w:t>e</w:t>
      </w:r>
      <w:r>
        <w:rPr>
          <w:lang w:val="hr-HR"/>
        </w:rPr>
        <w:t>, koj</w:t>
      </w:r>
      <w:r w:rsidR="001754D3">
        <w:rPr>
          <w:lang w:val="hr-HR"/>
        </w:rPr>
        <w:t>e</w:t>
      </w:r>
      <w:r>
        <w:rPr>
          <w:lang w:val="hr-HR"/>
        </w:rPr>
        <w:t xml:space="preserve"> ima</w:t>
      </w:r>
      <w:r w:rsidR="001754D3">
        <w:rPr>
          <w:lang w:val="hr-HR"/>
        </w:rPr>
        <w:t>ju</w:t>
      </w:r>
      <w:r>
        <w:rPr>
          <w:lang w:val="hr-HR"/>
        </w:rPr>
        <w:t xml:space="preserve"> ugovor o radu pa su za njih</w:t>
      </w:r>
      <w:r w:rsidRPr="00580DEC">
        <w:rPr>
          <w:lang w:val="hr-HR"/>
        </w:rPr>
        <w:t xml:space="preserve"> osigurana sredstva. </w:t>
      </w:r>
    </w:p>
    <w:p w:rsidR="00FA5406" w:rsidRPr="00347B7F" w:rsidRDefault="00FA5406" w:rsidP="00F22380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87"/>
        <w:gridCol w:w="1075"/>
        <w:gridCol w:w="1132"/>
        <w:gridCol w:w="1125"/>
        <w:gridCol w:w="1138"/>
        <w:gridCol w:w="1315"/>
      </w:tblGrid>
      <w:tr w:rsidR="00FA5406" w:rsidRPr="00C86062" w:rsidTr="00C113C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1187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Definicija pokazatelja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Jedinica mjere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Polazna vrijednost (202</w:t>
            </w:r>
            <w:r w:rsidR="005D4A5E">
              <w:rPr>
                <w:b/>
                <w:bCs/>
                <w:sz w:val="18"/>
                <w:szCs w:val="18"/>
              </w:rPr>
              <w:t>5</w:t>
            </w:r>
            <w:r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Ciljana vrijednost (202</w:t>
            </w:r>
            <w:r w:rsidR="005D4A5E">
              <w:rPr>
                <w:b/>
                <w:bCs/>
                <w:sz w:val="18"/>
                <w:szCs w:val="18"/>
              </w:rPr>
              <w:t>6</w:t>
            </w:r>
            <w:r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Ciljana vrijednost (202</w:t>
            </w:r>
            <w:r w:rsidR="005D4A5E">
              <w:rPr>
                <w:b/>
                <w:bCs/>
                <w:sz w:val="18"/>
                <w:szCs w:val="18"/>
              </w:rPr>
              <w:t>7</w:t>
            </w:r>
            <w:r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315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Ciljana vrijednost (202</w:t>
            </w:r>
            <w:r w:rsidR="005D4A5E">
              <w:rPr>
                <w:b/>
                <w:bCs/>
                <w:sz w:val="18"/>
                <w:szCs w:val="18"/>
              </w:rPr>
              <w:t>8</w:t>
            </w:r>
            <w:r w:rsidRPr="00C86062">
              <w:rPr>
                <w:b/>
                <w:bCs/>
                <w:sz w:val="18"/>
                <w:szCs w:val="18"/>
              </w:rPr>
              <w:t>.)</w:t>
            </w:r>
          </w:p>
        </w:tc>
      </w:tr>
      <w:tr w:rsidR="00FA5406" w:rsidRPr="00C86062" w:rsidTr="00C113C6">
        <w:trPr>
          <w:jc w:val="center"/>
        </w:trPr>
        <w:tc>
          <w:tcPr>
            <w:tcW w:w="1134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pomoćnika u nastavi</w:t>
            </w:r>
          </w:p>
        </w:tc>
        <w:tc>
          <w:tcPr>
            <w:tcW w:w="1187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pomoćnika u nastavi za rad s učenicima s teškoćama</w:t>
            </w:r>
          </w:p>
        </w:tc>
        <w:tc>
          <w:tcPr>
            <w:tcW w:w="1075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pomoćnika</w:t>
            </w:r>
          </w:p>
        </w:tc>
        <w:tc>
          <w:tcPr>
            <w:tcW w:w="1132" w:type="dxa"/>
          </w:tcPr>
          <w:p w:rsidR="00FA5406" w:rsidRPr="00C86062" w:rsidRDefault="00C113C6" w:rsidP="006225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25" w:type="dxa"/>
          </w:tcPr>
          <w:p w:rsidR="00FA5406" w:rsidRPr="00C86062" w:rsidRDefault="00C113C6" w:rsidP="006225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8" w:type="dxa"/>
          </w:tcPr>
          <w:p w:rsidR="00FA5406" w:rsidRPr="00C86062" w:rsidRDefault="00C113C6" w:rsidP="006225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15" w:type="dxa"/>
          </w:tcPr>
          <w:p w:rsidR="00FA5406" w:rsidRPr="00C86062" w:rsidRDefault="00C113C6" w:rsidP="006225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FA5406" w:rsidRPr="00C86062" w:rsidTr="00C113C6">
        <w:trPr>
          <w:trHeight w:val="453"/>
          <w:jc w:val="center"/>
        </w:trPr>
        <w:tc>
          <w:tcPr>
            <w:tcW w:w="1134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učenika</w:t>
            </w:r>
          </w:p>
        </w:tc>
        <w:tc>
          <w:tcPr>
            <w:tcW w:w="1187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 xml:space="preserve">Broj učenika </w:t>
            </w:r>
          </w:p>
        </w:tc>
        <w:tc>
          <w:tcPr>
            <w:tcW w:w="1075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 xml:space="preserve">Broj učenika </w:t>
            </w:r>
          </w:p>
        </w:tc>
        <w:tc>
          <w:tcPr>
            <w:tcW w:w="1132" w:type="dxa"/>
          </w:tcPr>
          <w:p w:rsidR="00FA5406" w:rsidRPr="00C86062" w:rsidRDefault="00C113C6" w:rsidP="006225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25" w:type="dxa"/>
          </w:tcPr>
          <w:p w:rsidR="00FA5406" w:rsidRPr="00C86062" w:rsidRDefault="00C113C6" w:rsidP="006225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8" w:type="dxa"/>
          </w:tcPr>
          <w:p w:rsidR="00FA5406" w:rsidRPr="00C86062" w:rsidRDefault="00C113C6" w:rsidP="006225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15" w:type="dxa"/>
          </w:tcPr>
          <w:p w:rsidR="00FA5406" w:rsidRPr="00C86062" w:rsidRDefault="00C113C6" w:rsidP="006225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C113C6" w:rsidRPr="00C86062" w:rsidTr="00C113C6">
        <w:trPr>
          <w:jc w:val="center"/>
        </w:trPr>
        <w:tc>
          <w:tcPr>
            <w:tcW w:w="1134" w:type="dxa"/>
          </w:tcPr>
          <w:p w:rsidR="00C113C6" w:rsidRPr="00C86062" w:rsidRDefault="00C113C6" w:rsidP="00C113C6">
            <w:pPr>
              <w:jc w:val="both"/>
              <w:rPr>
                <w:b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Ukupan iznos sredstava potreban za provođenje programa</w:t>
            </w:r>
          </w:p>
        </w:tc>
        <w:tc>
          <w:tcPr>
            <w:tcW w:w="1187" w:type="dxa"/>
          </w:tcPr>
          <w:p w:rsidR="00C113C6" w:rsidRPr="00C86062" w:rsidRDefault="00C113C6" w:rsidP="00C113C6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Iznos sredstava za plaću pomoćnika u nastavi (ugovor o radu, ugovor o djelu, studentski ugovor)</w:t>
            </w:r>
          </w:p>
        </w:tc>
        <w:tc>
          <w:tcPr>
            <w:tcW w:w="1075" w:type="dxa"/>
          </w:tcPr>
          <w:p w:rsidR="00C113C6" w:rsidRPr="00C86062" w:rsidRDefault="00C113C6" w:rsidP="00C113C6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Iznos u</w:t>
            </w:r>
            <w:r>
              <w:rPr>
                <w:bCs/>
                <w:sz w:val="18"/>
                <w:szCs w:val="18"/>
              </w:rPr>
              <w:t xml:space="preserve"> EUR</w:t>
            </w:r>
          </w:p>
        </w:tc>
        <w:tc>
          <w:tcPr>
            <w:tcW w:w="1132" w:type="dxa"/>
          </w:tcPr>
          <w:p w:rsidR="00C113C6" w:rsidRPr="00C86062" w:rsidRDefault="00A74581" w:rsidP="00C113C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19.000</w:t>
            </w:r>
            <w:r w:rsidR="00C113C6">
              <w:rPr>
                <w:b/>
                <w:sz w:val="18"/>
                <w:szCs w:val="18"/>
              </w:rPr>
              <w:t xml:space="preserve"> EUR</w:t>
            </w:r>
          </w:p>
        </w:tc>
        <w:tc>
          <w:tcPr>
            <w:tcW w:w="1125" w:type="dxa"/>
          </w:tcPr>
          <w:p w:rsidR="00C113C6" w:rsidRPr="00C86062" w:rsidRDefault="001D4B96" w:rsidP="00C113C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33.100</w:t>
            </w:r>
            <w:r w:rsidR="00C113C6">
              <w:rPr>
                <w:b/>
                <w:sz w:val="18"/>
                <w:szCs w:val="18"/>
              </w:rPr>
              <w:t xml:space="preserve"> EUR</w:t>
            </w:r>
          </w:p>
        </w:tc>
        <w:tc>
          <w:tcPr>
            <w:tcW w:w="1138" w:type="dxa"/>
          </w:tcPr>
          <w:p w:rsidR="00C113C6" w:rsidRPr="00C86062" w:rsidRDefault="001D4B96" w:rsidP="00C113C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32.400</w:t>
            </w:r>
            <w:r w:rsidR="00C113C6">
              <w:rPr>
                <w:b/>
                <w:sz w:val="18"/>
                <w:szCs w:val="18"/>
              </w:rPr>
              <w:t xml:space="preserve"> EUR</w:t>
            </w:r>
          </w:p>
        </w:tc>
        <w:tc>
          <w:tcPr>
            <w:tcW w:w="1315" w:type="dxa"/>
          </w:tcPr>
          <w:p w:rsidR="00C113C6" w:rsidRPr="00C86062" w:rsidRDefault="001D4B96" w:rsidP="00C113C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32.300</w:t>
            </w:r>
            <w:r w:rsidR="0093236B">
              <w:rPr>
                <w:b/>
                <w:sz w:val="18"/>
                <w:szCs w:val="18"/>
              </w:rPr>
              <w:t xml:space="preserve"> </w:t>
            </w:r>
            <w:r w:rsidR="00C113C6">
              <w:rPr>
                <w:b/>
                <w:sz w:val="18"/>
                <w:szCs w:val="18"/>
              </w:rPr>
              <w:t>EUR</w:t>
            </w:r>
          </w:p>
        </w:tc>
      </w:tr>
    </w:tbl>
    <w:p w:rsidR="00FA5406" w:rsidRPr="00347B7F" w:rsidRDefault="00FA5406" w:rsidP="00FA5406">
      <w:pPr>
        <w:jc w:val="both"/>
        <w:rPr>
          <w:sz w:val="20"/>
          <w:szCs w:val="20"/>
        </w:rPr>
      </w:pPr>
    </w:p>
    <w:p w:rsidR="00915A47" w:rsidRDefault="00915A47" w:rsidP="007A6ABE">
      <w:pPr>
        <w:spacing w:after="0"/>
        <w:jc w:val="both"/>
      </w:pPr>
      <w:r w:rsidRPr="00915A47">
        <w:rPr>
          <w:b/>
        </w:rPr>
        <w:lastRenderedPageBreak/>
        <w:t>POKAZATELJI REZULTATA NA KOJIMA SE ZASNIVAJU IZRAČUNI I OCJENE POTREBNIH SREDSTAVA</w:t>
      </w:r>
      <w:r>
        <w:t xml:space="preserve"> </w:t>
      </w:r>
      <w:r>
        <w:tab/>
        <w:t>"</w:t>
      </w:r>
      <w:bookmarkStart w:id="1" w:name="_Hlk158883108"/>
      <w:r>
        <w:t>Od ukupno 2</w:t>
      </w:r>
      <w:r w:rsidR="00DD310A">
        <w:t>3</w:t>
      </w:r>
      <w:r w:rsidR="0018755B">
        <w:t>1</w:t>
      </w:r>
      <w:r>
        <w:t xml:space="preserve"> maturanata njih 2</w:t>
      </w:r>
      <w:r w:rsidR="00DD310A">
        <w:t xml:space="preserve">24 </w:t>
      </w:r>
      <w:r>
        <w:t>je pristupilo državnoj maturi, a 2</w:t>
      </w:r>
      <w:r w:rsidR="00DD310A">
        <w:t>1</w:t>
      </w:r>
      <w:bookmarkStart w:id="2" w:name="_GoBack"/>
      <w:bookmarkEnd w:id="2"/>
      <w:r w:rsidR="0018755B">
        <w:t>1</w:t>
      </w:r>
      <w:r>
        <w:t xml:space="preserve"> ih je uspješno položilo državnu maturu. Svi </w:t>
      </w:r>
      <w:bookmarkStart w:id="3" w:name="_Hlk149906272"/>
      <w:r>
        <w:t>učenici iz strukovnih usmjerenja obranili su završni rad</w:t>
      </w:r>
      <w:bookmarkEnd w:id="3"/>
      <w:r>
        <w:t xml:space="preserve">. Ostvaren je nagradni izlet za učenike koji su se posebno zalagali u izvannastavnim aktivnostima, te za razred s najboljim ocjenama.  Zaposlenici su se stručno usavršavali na seminarima, stručnim aktivima i drugim oblicima nadogradnje. Svi razredi su opremljeni s LCD projektorima, pametnim pločama, nabavljena su prijenosna računala za nove profesore i ostala potrebna oprema za korištenje u nastavi. </w:t>
      </w:r>
      <w:r w:rsidR="00DF4D2C">
        <w:t>1</w:t>
      </w:r>
      <w:r w:rsidR="004E38AA">
        <w:t>00</w:t>
      </w:r>
      <w:r w:rsidR="00DE63BC">
        <w:t>2</w:t>
      </w:r>
      <w:r>
        <w:t xml:space="preserve"> učenika sudjelovalo je na školskim natjecanjima, </w:t>
      </w:r>
      <w:r w:rsidR="00A74581">
        <w:t>5</w:t>
      </w:r>
      <w:r w:rsidR="00DE63BC">
        <w:t>8</w:t>
      </w:r>
      <w:r w:rsidR="00A74581">
        <w:t>0</w:t>
      </w:r>
      <w:r>
        <w:t xml:space="preserve"> ih se plasiralo na županijska natjecanja,  </w:t>
      </w:r>
      <w:r w:rsidR="00DF4D2C">
        <w:t>8</w:t>
      </w:r>
      <w:r w:rsidR="00DE63BC">
        <w:t>3</w:t>
      </w:r>
      <w:r>
        <w:t xml:space="preserve"> na državna natjecanja</w:t>
      </w:r>
      <w:r w:rsidR="00DF4D2C">
        <w:t xml:space="preserve"> i 2 na međunarodna.</w:t>
      </w:r>
      <w:bookmarkEnd w:id="1"/>
    </w:p>
    <w:p w:rsidR="00915A47" w:rsidRDefault="00915A47" w:rsidP="007A6ABE">
      <w:pPr>
        <w:spacing w:after="0"/>
        <w:jc w:val="both"/>
      </w:pPr>
      <w:r>
        <w:t xml:space="preserve">Škola je u školskoj </w:t>
      </w:r>
      <w:proofErr w:type="gramStart"/>
      <w:r>
        <w:t>godini</w:t>
      </w:r>
      <w:r w:rsidR="0073162F">
        <w:t xml:space="preserve"> </w:t>
      </w:r>
      <w:r>
        <w:t xml:space="preserve"> 2016</w:t>
      </w:r>
      <w:proofErr w:type="gramEnd"/>
      <w:r>
        <w:t xml:space="preserve">./2017. ušla u projekt ""e-Škole: Uspostava sustava razvoja digitalno zrelih škola (pilot projekt)” te će u njemu sudjelovati do kraja projekta. Svrha pilot projekta e-Škole je uspostaviti sustav razvoja digitalno zrelih škola kroz pilotiranje i evaluaciju primjene IKT-a u obrazovnim i poslovnim procesima u 10% škola u Republici Hrvatskoj. U okviru projekta e-škole postali smo jedan od pet Regionalnih obrazovnih centara u Hrvatskoj. Kao regionalni obrazovni centar imamo prostoriju opremljenu IKT infrastrukturom i opremom koja prati najnovije obrazovne trendove i metode poučavanja.  Isto tako škola je u školskoj godini </w:t>
      </w:r>
      <w:proofErr w:type="gramStart"/>
      <w:r>
        <w:t>202</w:t>
      </w:r>
      <w:r w:rsidR="00DE63BC">
        <w:t>5</w:t>
      </w:r>
      <w:r>
        <w:t>./</w:t>
      </w:r>
      <w:proofErr w:type="gramEnd"/>
      <w:r>
        <w:t>202</w:t>
      </w:r>
      <w:r w:rsidR="00DE63BC">
        <w:t>6</w:t>
      </w:r>
      <w:r>
        <w:t xml:space="preserve">. upisala </w:t>
      </w:r>
      <w:r w:rsidR="00A74581">
        <w:t>de</w:t>
      </w:r>
      <w:r w:rsidR="00DE63BC">
        <w:t>setu</w:t>
      </w:r>
      <w:r>
        <w:t xml:space="preserve"> generaciju prirodoslovne gimazije na engleskom jeziku iz prirodoslovnih predmeta. U narednim školskim godinama škola će nastaviti s tom praksom te će svake godine upisati jedan razred koji sluša nastavu iz prirodnih predmeta na engleskom jeziku.                                                                                                                            </w:t>
      </w:r>
    </w:p>
    <w:p w:rsidR="00915A47" w:rsidRDefault="00915A47" w:rsidP="00915A47">
      <w:pPr>
        <w:spacing w:after="0"/>
      </w:pPr>
      <w:r>
        <w:tab/>
      </w:r>
      <w:r>
        <w:tab/>
      </w:r>
    </w:p>
    <w:p w:rsidR="007A6ABE" w:rsidRDefault="00915A47" w:rsidP="00915A47">
      <w:pPr>
        <w:spacing w:after="0"/>
        <w:rPr>
          <w:b/>
        </w:rPr>
      </w:pPr>
      <w:r w:rsidRPr="00915A47">
        <w:rPr>
          <w:b/>
        </w:rPr>
        <w:t>6. RAZLOG ODSTUPANJA OD PROŠLOGODIŠNJIH PROJEKCIJA</w:t>
      </w:r>
      <w:r w:rsidRPr="00915A47">
        <w:rPr>
          <w:b/>
        </w:rPr>
        <w:tab/>
      </w:r>
    </w:p>
    <w:p w:rsidR="00211C67" w:rsidRDefault="00915A47" w:rsidP="007A6ABE">
      <w:pPr>
        <w:spacing w:after="0"/>
        <w:jc w:val="both"/>
      </w:pPr>
      <w:r>
        <w:t xml:space="preserve">Većina odstupanja od prošlogodišnjih projekcija uzrokovana </w:t>
      </w:r>
      <w:r w:rsidR="00211C67">
        <w:t>je:</w:t>
      </w:r>
    </w:p>
    <w:p w:rsidR="009A3EC8" w:rsidRDefault="009A3EC8" w:rsidP="007A6ABE">
      <w:pPr>
        <w:spacing w:after="0"/>
        <w:jc w:val="both"/>
      </w:pPr>
    </w:p>
    <w:p w:rsidR="00211C67" w:rsidRDefault="00211C67" w:rsidP="00211C67">
      <w:pPr>
        <w:pStyle w:val="Odlomakpopisa"/>
        <w:numPr>
          <w:ilvl w:val="0"/>
          <w:numId w:val="5"/>
        </w:numPr>
        <w:spacing w:after="0"/>
        <w:jc w:val="both"/>
      </w:pPr>
      <w:r>
        <w:t>financijskom stabilnošću Grada Zagreb</w:t>
      </w:r>
      <w:r w:rsidR="009A3EC8">
        <w:t xml:space="preserve">a - </w:t>
      </w:r>
      <w:r>
        <w:t>redovnim uplatama mjesečnih paušala za materijalne rashode te sredstava za hitne intervencije i za ostale rashode, povećanjem uplata sredstava za troškove tekućeg i investicijskog održavanja;</w:t>
      </w:r>
    </w:p>
    <w:p w:rsidR="00211C67" w:rsidRDefault="00211C67" w:rsidP="00211C67">
      <w:pPr>
        <w:pStyle w:val="Odlomakpopisa"/>
        <w:numPr>
          <w:ilvl w:val="0"/>
          <w:numId w:val="5"/>
        </w:numPr>
        <w:spacing w:after="0"/>
        <w:jc w:val="both"/>
      </w:pPr>
      <w:r>
        <w:t xml:space="preserve"> </w:t>
      </w:r>
      <w:r w:rsidR="00A74581">
        <w:t>inflacijskom krizom</w:t>
      </w:r>
      <w:r w:rsidR="00DF4D2C">
        <w:t>, odno</w:t>
      </w:r>
      <w:r w:rsidR="00D70E3B">
        <w:t>s</w:t>
      </w:r>
      <w:r w:rsidR="00DF4D2C">
        <w:t xml:space="preserve">no </w:t>
      </w:r>
      <w:r w:rsidR="00A74581">
        <w:t>povećanjem cijena roba i usluga</w:t>
      </w:r>
      <w:r>
        <w:t>;</w:t>
      </w:r>
    </w:p>
    <w:p w:rsidR="00915A47" w:rsidRDefault="00A74581" w:rsidP="00211C67">
      <w:pPr>
        <w:pStyle w:val="Odlomakpopisa"/>
        <w:numPr>
          <w:ilvl w:val="0"/>
          <w:numId w:val="5"/>
        </w:numPr>
        <w:spacing w:after="0"/>
        <w:jc w:val="both"/>
      </w:pPr>
      <w:r>
        <w:t xml:space="preserve"> reformom sustava plaća </w:t>
      </w:r>
      <w:proofErr w:type="gramStart"/>
      <w:r>
        <w:t>od  ožujka</w:t>
      </w:r>
      <w:proofErr w:type="gramEnd"/>
      <w:r>
        <w:t xml:space="preserve"> 2024</w:t>
      </w:r>
      <w:r w:rsidR="00D70E3B">
        <w:t>.</w:t>
      </w:r>
      <w:r w:rsidR="00DE63BC">
        <w:t xml:space="preserve"> i porastom osnovice za plaće tijekom 2025. godine</w:t>
      </w:r>
    </w:p>
    <w:p w:rsidR="00915A47" w:rsidRDefault="00915A47" w:rsidP="009A3EC8">
      <w:pPr>
        <w:spacing w:after="0"/>
        <w:ind w:left="720"/>
      </w:pPr>
    </w:p>
    <w:p w:rsidR="009A3EC8" w:rsidRDefault="009A3EC8" w:rsidP="00915A47">
      <w:pPr>
        <w:spacing w:after="0"/>
      </w:pPr>
    </w:p>
    <w:p w:rsidR="009A3EC8" w:rsidRDefault="009A3EC8" w:rsidP="00915A47">
      <w:pPr>
        <w:spacing w:after="0"/>
      </w:pPr>
    </w:p>
    <w:p w:rsidR="007A6ABE" w:rsidRDefault="00915A47" w:rsidP="00915A47">
      <w:pPr>
        <w:spacing w:after="0"/>
      </w:pPr>
      <w:r w:rsidRPr="00915A47">
        <w:rPr>
          <w:b/>
        </w:rPr>
        <w:t>7. POKAZATELJI USP</w:t>
      </w:r>
      <w:r w:rsidR="00FA5406">
        <w:rPr>
          <w:b/>
        </w:rPr>
        <w:t>J</w:t>
      </w:r>
      <w:r w:rsidRPr="00915A47">
        <w:rPr>
          <w:b/>
        </w:rPr>
        <w:t>EŠNOSTI</w:t>
      </w:r>
    </w:p>
    <w:p w:rsidR="00915A47" w:rsidRDefault="00915A47" w:rsidP="007A6ABE">
      <w:pPr>
        <w:spacing w:after="0"/>
        <w:jc w:val="both"/>
      </w:pPr>
      <w:bookmarkStart w:id="4" w:name="_Hlk158883425"/>
      <w:r>
        <w:t xml:space="preserve">Nakon objave konačnih rang ljestvica upisa u srednje škole, od Ministarstva znanosti i obrazovanja zatražili smo i konačne podatke o tome u koje su se škole upisivali najbolji osmaši, oni s najvišim brojem bodova. U nastavku se nalazi popis </w:t>
      </w:r>
      <w:r w:rsidR="00517131">
        <w:t>dva</w:t>
      </w:r>
      <w:r>
        <w:t>deset srednjoškolskih programa koje su upisivali najbolji hrvatski učenici.</w:t>
      </w:r>
    </w:p>
    <w:p w:rsidR="009A3EC8" w:rsidRDefault="009A3EC8" w:rsidP="00915A47">
      <w:pPr>
        <w:spacing w:after="0"/>
        <w:rPr>
          <w:sz w:val="24"/>
          <w:szCs w:val="24"/>
        </w:rPr>
      </w:pPr>
    </w:p>
    <w:p w:rsidR="009A3EC8" w:rsidRDefault="009A3EC8" w:rsidP="00915A47">
      <w:pPr>
        <w:spacing w:after="0"/>
        <w:rPr>
          <w:sz w:val="24"/>
          <w:szCs w:val="24"/>
        </w:rPr>
      </w:pPr>
    </w:p>
    <w:p w:rsidR="009A3EC8" w:rsidRDefault="009A3EC8" w:rsidP="00915A47">
      <w:pPr>
        <w:spacing w:after="0"/>
        <w:rPr>
          <w:sz w:val="24"/>
          <w:szCs w:val="24"/>
        </w:rPr>
      </w:pPr>
    </w:p>
    <w:p w:rsidR="009A3EC8" w:rsidRDefault="009A3EC8" w:rsidP="00915A47">
      <w:pPr>
        <w:spacing w:after="0"/>
        <w:rPr>
          <w:sz w:val="24"/>
          <w:szCs w:val="24"/>
        </w:rPr>
      </w:pPr>
    </w:p>
    <w:p w:rsidR="009A3EC8" w:rsidRDefault="009A3EC8" w:rsidP="00915A47">
      <w:pPr>
        <w:spacing w:after="0"/>
        <w:rPr>
          <w:sz w:val="24"/>
          <w:szCs w:val="24"/>
        </w:rPr>
      </w:pPr>
    </w:p>
    <w:p w:rsidR="009A3EC8" w:rsidRDefault="009A3EC8" w:rsidP="00915A47">
      <w:pPr>
        <w:spacing w:after="0"/>
        <w:rPr>
          <w:sz w:val="24"/>
          <w:szCs w:val="24"/>
        </w:rPr>
      </w:pPr>
    </w:p>
    <w:p w:rsidR="009A3EC8" w:rsidRDefault="009A3EC8" w:rsidP="00915A47">
      <w:pPr>
        <w:spacing w:after="0"/>
        <w:rPr>
          <w:sz w:val="24"/>
          <w:szCs w:val="24"/>
        </w:rPr>
      </w:pPr>
    </w:p>
    <w:p w:rsidR="009A3EC8" w:rsidRDefault="009A3EC8" w:rsidP="00915A47">
      <w:pPr>
        <w:spacing w:after="0"/>
        <w:rPr>
          <w:sz w:val="24"/>
          <w:szCs w:val="24"/>
        </w:rPr>
      </w:pPr>
    </w:p>
    <w:p w:rsidR="00461FD0" w:rsidRDefault="005D7171" w:rsidP="00915A47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461FD0" w:rsidRPr="00D34DF8">
        <w:rPr>
          <w:sz w:val="24"/>
          <w:szCs w:val="24"/>
        </w:rPr>
        <w:t xml:space="preserve">0 </w:t>
      </w:r>
      <w:r>
        <w:rPr>
          <w:sz w:val="24"/>
          <w:szCs w:val="24"/>
        </w:rPr>
        <w:t>programa</w:t>
      </w:r>
      <w:r w:rsidR="00461FD0" w:rsidRPr="00D34DF8">
        <w:rPr>
          <w:sz w:val="24"/>
          <w:szCs w:val="24"/>
        </w:rPr>
        <w:t xml:space="preserve"> s </w:t>
      </w:r>
      <w:proofErr w:type="gramStart"/>
      <w:r>
        <w:rPr>
          <w:sz w:val="24"/>
          <w:szCs w:val="24"/>
        </w:rPr>
        <w:t>prijemnim  koje</w:t>
      </w:r>
      <w:proofErr w:type="gramEnd"/>
      <w:r>
        <w:rPr>
          <w:sz w:val="24"/>
          <w:szCs w:val="24"/>
        </w:rPr>
        <w:t xml:space="preserve"> su upisali učenici s </w:t>
      </w:r>
      <w:r w:rsidR="00461FD0" w:rsidRPr="00D34DF8">
        <w:rPr>
          <w:sz w:val="24"/>
          <w:szCs w:val="24"/>
        </w:rPr>
        <w:t>najvećim prosječnim brojem bodova upisanih | izvor podataka: MZO</w:t>
      </w:r>
    </w:p>
    <w:p w:rsidR="00211C67" w:rsidRDefault="00211C67" w:rsidP="00915A47">
      <w:pPr>
        <w:spacing w:after="0"/>
        <w:rPr>
          <w:sz w:val="24"/>
          <w:szCs w:val="24"/>
        </w:rPr>
      </w:pPr>
    </w:p>
    <w:p w:rsidR="00211C67" w:rsidRPr="00D34DF8" w:rsidRDefault="00DE63BC" w:rsidP="00915A47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4032504"/>
            <wp:effectExtent l="0" t="0" r="0" b="6350"/>
            <wp:docPr id="1" name="Slika 1" descr="https://www.srednja.hr/app/uploads/2025/07/10-skola-Zagreb-2025_s-prijemn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rednja.hr/app/uploads/2025/07/10-skola-Zagreb-2025_s-prijemni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:rsidR="00D34DF8" w:rsidRDefault="00D34DF8" w:rsidP="00D34DF8">
      <w:pPr>
        <w:spacing w:after="0"/>
        <w:rPr>
          <w:rFonts w:ascii="Segoe UI" w:eastAsia="Times New Roman" w:hAnsi="Segoe UI" w:cs="Segoe UI"/>
          <w:color w:val="FFFFFF"/>
          <w:sz w:val="21"/>
          <w:szCs w:val="21"/>
          <w:u w:val="single"/>
          <w:shd w:val="clear" w:color="auto" w:fill="1877F2"/>
          <w:lang w:val="hr-HR" w:eastAsia="hr-HR"/>
        </w:rPr>
      </w:pPr>
    </w:p>
    <w:p w:rsidR="00211C67" w:rsidRDefault="00211C67" w:rsidP="00DB617C">
      <w:pPr>
        <w:spacing w:line="240" w:lineRule="auto"/>
        <w:rPr>
          <w:b/>
        </w:rPr>
      </w:pPr>
    </w:p>
    <w:p w:rsidR="00DB617C" w:rsidRPr="00DB617C" w:rsidRDefault="00DB617C" w:rsidP="00DB617C">
      <w:pPr>
        <w:spacing w:line="240" w:lineRule="auto"/>
        <w:rPr>
          <w:b/>
        </w:rPr>
      </w:pPr>
      <w:r w:rsidRPr="00DB617C">
        <w:rPr>
          <w:b/>
        </w:rPr>
        <w:t>ZAKLJUČAK</w:t>
      </w:r>
    </w:p>
    <w:p w:rsidR="00DB617C" w:rsidRPr="00DB617C" w:rsidRDefault="00DB617C" w:rsidP="00DB617C">
      <w:pPr>
        <w:jc w:val="both"/>
      </w:pPr>
      <w:r w:rsidRPr="00DB617C">
        <w:t xml:space="preserve">Obrazloženje financijskog plana jednako je važan dokument kao i sam plan iskazan u brojkama.  U njemu povezujemo ciljeve škole s izvorima sredstava za njihovo ostvarenje te pratimo uspješnost realizacije. </w:t>
      </w:r>
      <w:proofErr w:type="gramStart"/>
      <w:r w:rsidRPr="00DB617C">
        <w:t>Radeći  analize</w:t>
      </w:r>
      <w:proofErr w:type="gramEnd"/>
      <w:r w:rsidRPr="00DB617C">
        <w:t xml:space="preserve"> prošle potrošnje, usporedbe prihoda i rashoda po određenim kategorijama, stvaramo i podloge za kvalitetnije upravljanje sredstvima s kojima raspolažemo.</w:t>
      </w:r>
    </w:p>
    <w:p w:rsidR="00DB617C" w:rsidRPr="00DB617C" w:rsidRDefault="00DB617C" w:rsidP="00DB617C">
      <w:pPr>
        <w:jc w:val="both"/>
      </w:pPr>
      <w:r w:rsidRPr="00DB617C">
        <w:t xml:space="preserve">Drugi važan razlog za izradu detaljnog obrazloženja olakšana je mogućnost praćenja izvršenja plana te argumentiranja mogućih/vjerojatnih izmjena i dopuna financijskog plana. Posebno se to odnosi na situacije smanjenog priliva novca, odnosno povećanja izdataka za neplanirane okolnosti. </w:t>
      </w:r>
    </w:p>
    <w:p w:rsidR="00FA5406" w:rsidRDefault="00FA5406" w:rsidP="00D34DF8">
      <w:pPr>
        <w:spacing w:after="0"/>
      </w:pPr>
    </w:p>
    <w:p w:rsidR="00920676" w:rsidRDefault="00920676" w:rsidP="00D34DF8">
      <w:pPr>
        <w:spacing w:after="0"/>
      </w:pPr>
    </w:p>
    <w:p w:rsidR="00920676" w:rsidRDefault="00920676" w:rsidP="00920676">
      <w:pPr>
        <w:ind w:left="5664"/>
        <w:rPr>
          <w:sz w:val="24"/>
          <w:szCs w:val="24"/>
        </w:rPr>
      </w:pPr>
      <w:r w:rsidRPr="00DB617C">
        <w:rPr>
          <w:sz w:val="24"/>
          <w:szCs w:val="24"/>
        </w:rPr>
        <w:t>Ravnatelj</w:t>
      </w:r>
    </w:p>
    <w:p w:rsidR="00920676" w:rsidRPr="00DB617C" w:rsidRDefault="00920676" w:rsidP="00920676">
      <w:pPr>
        <w:ind w:left="5664"/>
        <w:rPr>
          <w:sz w:val="24"/>
          <w:szCs w:val="24"/>
        </w:rPr>
      </w:pPr>
      <w:r w:rsidRPr="00DB617C">
        <w:rPr>
          <w:sz w:val="24"/>
          <w:szCs w:val="24"/>
        </w:rPr>
        <w:t xml:space="preserve">  Zlatko Stić, dipl. ing</w:t>
      </w:r>
    </w:p>
    <w:p w:rsidR="00920676" w:rsidRDefault="00920676" w:rsidP="00D34DF8">
      <w:pPr>
        <w:spacing w:after="0"/>
      </w:pPr>
    </w:p>
    <w:sectPr w:rsidR="009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73CBB"/>
    <w:multiLevelType w:val="hybridMultilevel"/>
    <w:tmpl w:val="617A0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324E9"/>
    <w:multiLevelType w:val="hybridMultilevel"/>
    <w:tmpl w:val="49A00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06168"/>
    <w:multiLevelType w:val="hybridMultilevel"/>
    <w:tmpl w:val="7E8E82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67A89"/>
    <w:multiLevelType w:val="hybridMultilevel"/>
    <w:tmpl w:val="708AF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B55A0"/>
    <w:multiLevelType w:val="hybridMultilevel"/>
    <w:tmpl w:val="56E60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812"/>
    <w:rsid w:val="00037330"/>
    <w:rsid w:val="000602F9"/>
    <w:rsid w:val="000B76D6"/>
    <w:rsid w:val="000C5C40"/>
    <w:rsid w:val="000E7AEE"/>
    <w:rsid w:val="000F1B7B"/>
    <w:rsid w:val="0017256E"/>
    <w:rsid w:val="001754D3"/>
    <w:rsid w:val="0018755B"/>
    <w:rsid w:val="00187AE0"/>
    <w:rsid w:val="001B5500"/>
    <w:rsid w:val="001D4561"/>
    <w:rsid w:val="001D4B96"/>
    <w:rsid w:val="00211C67"/>
    <w:rsid w:val="003238C0"/>
    <w:rsid w:val="003354D0"/>
    <w:rsid w:val="00345F99"/>
    <w:rsid w:val="00356DEC"/>
    <w:rsid w:val="003766D6"/>
    <w:rsid w:val="003C38A2"/>
    <w:rsid w:val="003C69AF"/>
    <w:rsid w:val="003E5705"/>
    <w:rsid w:val="00461FD0"/>
    <w:rsid w:val="004A222F"/>
    <w:rsid w:val="004C2EDD"/>
    <w:rsid w:val="004E38AA"/>
    <w:rsid w:val="00517131"/>
    <w:rsid w:val="00577D94"/>
    <w:rsid w:val="00580DEC"/>
    <w:rsid w:val="005C34D3"/>
    <w:rsid w:val="005D42AF"/>
    <w:rsid w:val="005D4A5E"/>
    <w:rsid w:val="005D7171"/>
    <w:rsid w:val="006251E2"/>
    <w:rsid w:val="006307CA"/>
    <w:rsid w:val="00662EB6"/>
    <w:rsid w:val="006D40EC"/>
    <w:rsid w:val="0073162F"/>
    <w:rsid w:val="00736F04"/>
    <w:rsid w:val="007A6ABE"/>
    <w:rsid w:val="007C0DD1"/>
    <w:rsid w:val="00806370"/>
    <w:rsid w:val="00806B12"/>
    <w:rsid w:val="00856939"/>
    <w:rsid w:val="0086410C"/>
    <w:rsid w:val="00865835"/>
    <w:rsid w:val="0087312D"/>
    <w:rsid w:val="008B4C29"/>
    <w:rsid w:val="008F1E36"/>
    <w:rsid w:val="00915A47"/>
    <w:rsid w:val="00920676"/>
    <w:rsid w:val="0093236B"/>
    <w:rsid w:val="009928CC"/>
    <w:rsid w:val="00997411"/>
    <w:rsid w:val="009A3EC8"/>
    <w:rsid w:val="00A017CF"/>
    <w:rsid w:val="00A70812"/>
    <w:rsid w:val="00A74581"/>
    <w:rsid w:val="00A80CCA"/>
    <w:rsid w:val="00A87CC4"/>
    <w:rsid w:val="00A97B67"/>
    <w:rsid w:val="00AA7A82"/>
    <w:rsid w:val="00AC26FD"/>
    <w:rsid w:val="00AE221D"/>
    <w:rsid w:val="00B2378A"/>
    <w:rsid w:val="00B36449"/>
    <w:rsid w:val="00B54F0B"/>
    <w:rsid w:val="00B61C64"/>
    <w:rsid w:val="00BE527D"/>
    <w:rsid w:val="00C113C6"/>
    <w:rsid w:val="00C148CC"/>
    <w:rsid w:val="00C3012C"/>
    <w:rsid w:val="00CA3692"/>
    <w:rsid w:val="00CD7BD8"/>
    <w:rsid w:val="00D25CB3"/>
    <w:rsid w:val="00D34DF8"/>
    <w:rsid w:val="00D70E3B"/>
    <w:rsid w:val="00D82742"/>
    <w:rsid w:val="00DA722E"/>
    <w:rsid w:val="00DB617C"/>
    <w:rsid w:val="00DD310A"/>
    <w:rsid w:val="00DE63BC"/>
    <w:rsid w:val="00DF4D2C"/>
    <w:rsid w:val="00DF71AB"/>
    <w:rsid w:val="00E07DB9"/>
    <w:rsid w:val="00E167BF"/>
    <w:rsid w:val="00E43987"/>
    <w:rsid w:val="00E447D4"/>
    <w:rsid w:val="00EA296C"/>
    <w:rsid w:val="00F22380"/>
    <w:rsid w:val="00F5752E"/>
    <w:rsid w:val="00F65BBC"/>
    <w:rsid w:val="00F72242"/>
    <w:rsid w:val="00F74FC7"/>
    <w:rsid w:val="00FA5406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FA24"/>
  <w15:docId w15:val="{BB886789-43F1-4321-A4C7-F6E967EE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171"/>
    <w:rPr>
      <w:lang w:val="en-US"/>
    </w:rPr>
  </w:style>
  <w:style w:type="paragraph" w:styleId="Naslov1">
    <w:name w:val="heading 1"/>
    <w:basedOn w:val="Normal"/>
    <w:next w:val="Normal"/>
    <w:link w:val="Naslov1Char"/>
    <w:qFormat/>
    <w:rsid w:val="00FA5406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0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7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p-caption-text">
    <w:name w:val="wp-caption-text"/>
    <w:basedOn w:val="Normal"/>
    <w:rsid w:val="00D3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FA5406"/>
    <w:rPr>
      <w:rFonts w:ascii="Arial" w:eastAsia="Times New Roman" w:hAnsi="Arial" w:cs="Arial"/>
      <w:b/>
      <w:bCs/>
      <w:sz w:val="24"/>
      <w:szCs w:val="20"/>
      <w:lang w:eastAsia="hr-HR"/>
    </w:rPr>
  </w:style>
  <w:style w:type="table" w:styleId="Reetkatablice">
    <w:name w:val="Table Grid"/>
    <w:basedOn w:val="Obinatablica"/>
    <w:uiPriority w:val="59"/>
    <w:rsid w:val="00FA5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semiHidden/>
    <w:unhideWhenUsed/>
    <w:rsid w:val="008F1E36"/>
    <w:pPr>
      <w:spacing w:line="360" w:lineRule="auto"/>
      <w:ind w:firstLine="708"/>
    </w:pPr>
    <w:rPr>
      <w:rFonts w:ascii="Times New Roman" w:eastAsia="Calibri" w:hAnsi="Times New Roman" w:cs="Times New Roman"/>
      <w:sz w:val="24"/>
      <w:szCs w:val="20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8F1E36"/>
    <w:rPr>
      <w:rFonts w:ascii="Times New Roman" w:eastAsia="Calibri" w:hAnsi="Times New Roman" w:cs="Times New Roman"/>
      <w:sz w:val="24"/>
      <w:szCs w:val="20"/>
    </w:rPr>
  </w:style>
  <w:style w:type="paragraph" w:styleId="StandardWeb">
    <w:name w:val="Normal (Web)"/>
    <w:basedOn w:val="Normal"/>
    <w:uiPriority w:val="99"/>
    <w:semiHidden/>
    <w:unhideWhenUsed/>
    <w:rsid w:val="0032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3238C0"/>
    <w:rPr>
      <w:b/>
      <w:bCs/>
    </w:rPr>
  </w:style>
  <w:style w:type="paragraph" w:styleId="Odlomakpopisa">
    <w:name w:val="List Paragraph"/>
    <w:basedOn w:val="Normal"/>
    <w:uiPriority w:val="34"/>
    <w:qFormat/>
    <w:rsid w:val="0086583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9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28CC"/>
    <w:rPr>
      <w:rFonts w:ascii="Segoe UI" w:hAnsi="Segoe UI" w:cs="Segoe UI"/>
      <w:sz w:val="18"/>
      <w:szCs w:val="1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7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8010-2071-47FC-9E38-2C7E7295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2658</TotalTime>
  <Pages>7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Matej Tomašević</cp:lastModifiedBy>
  <cp:revision>52</cp:revision>
  <cp:lastPrinted>2022-11-21T07:46:00Z</cp:lastPrinted>
  <dcterms:created xsi:type="dcterms:W3CDTF">2021-10-19T08:06:00Z</dcterms:created>
  <dcterms:modified xsi:type="dcterms:W3CDTF">2025-11-11T10:51:00Z</dcterms:modified>
</cp:coreProperties>
</file>